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2 Security Level Investing</w:t>
      </w:r>
    </w:p>
    <w:p>
      <w:r>
        <w:t>We study how data cleaning and portfolio design affect a Value strategy. The backtests use 240 investment months from January 1999 to December 2018, formed one month earlier. Arithmetic annualized return compares average monthly performance; geometric CAGR describes compounded investor growth. All main portfolios use the established winsorized returns and retain the provisional P/B flags.</w:t>
      </w:r>
    </w:p>
    <w:p>
      <w:pPr>
        <w:pStyle w:val="Heading1"/>
      </w:pPr>
      <w:r>
        <w:t>2A Data validation</w:t>
      </w:r>
    </w:p>
    <w:p>
      <w:r>
        <w:t>The full extract has 283,380 stock-months for 1,207 securities over 245 formation months, November 1998-March 2019. Monthly membership ranges from 552 to 1,196. April 1999 combines 182 departures with 166 arrivals; the departing IDs subsequently reappear. Counts fall sharply in December 2018 and February 2019, outside the later formation window. These patterns question historical universe consistency. Return coverage is 100% among supplied rows, but 1,514 interior stock-month rows are absent across 205 securities. Portfolios use only supplied formation-month rows and normalize the strategy weights within that observed cross-section; next-month presence is not required. Absent rows are not inserted. Zero-return imputation would assume unchanged investment value for an unobserved outcome, and disappearance does not identify delisting. Dependence on supplied membership still leaves selection and survivorship bias unresolved. Raw returns span -92.2% to +3,017.6%. Monthly linear-interpolated 1st/99th-percentile clipping changes 5,723 observations (2.02%), preserves every row, and uses ex-post cutoffs. This retains the central 98%; a central-99% alternative is documented. See Table 2.1 and Figures 2.1-2.3.</w:t>
      </w:r>
    </w:p>
    <w:p>
      <w:r>
        <w:t>P/B has an unusual mass at percentile 0.50: 10,197 observations (3.60%). Conditional midpoint frequency is 99.59% at book-value rank 0.01 but 6.51% at 0.04. The provisional rule Pb=0.50 and Bv&lt;=0.03 flags 5,720 observations, including 5,630 in the investment sample. It may reflect special coding or nonpositive equity, but percentile ranks reveal neither the cause nor equity signs. Median monthly Spearman correlation between P/B and log(cap-score/book-score) is 0.829, rising to 0.850 without these exact flags. Conditional cap/book-rank checks have the expected signs. These are ordinal consistency checks, not verification of P/B = Market Cap / Book Equity: nonlinear ranks do not preserve ratios, and cap scores use a three-month average. See Tables 2.2a-2.2b and Figures 2.4-2.5.</w:t>
      </w:r>
    </w:p>
    <w:p>
      <w:pPr>
        <w:pStyle w:val="Heading1"/>
      </w:pPr>
      <w:r>
        <w:t>2B Market proxy</w:t>
      </w:r>
    </w:p>
    <w:p>
      <w:r>
        <w:t>Normalizing market-cap scores creates a fully invested market proxy. Its correlation with MSCI USA gross USD is 0.9075. Arithmetic annual return is 9.81% versus 6.42%; tracking error is 6.93%. An initial $1 becomes $5.37 versus $2.91. This supports aggregate US-market-like co-movement, while percentile weights compress size differences and cannot reconstruct actual capitalization weights. Anonymized selection and unknown corporate-event treatment prevent proving complete coverage or individual-return accuracy. See Table 2.3 and Figure 2.6.</w:t>
      </w:r>
    </w:p>
    <w:p>
      <w:pPr>
        <w:pStyle w:val="Heading1"/>
      </w:pPr>
      <w:r>
        <w:t>2C Value portfolios</w:t>
      </w:r>
    </w:p>
    <w:p>
      <w:r>
        <w:t>We reverse the supplied grid using Value score v=1.01-Pb: the cheapest bucket receives 1.00 and the most expensive 0.01, preserving ties. This does not take reciprocals of percentile scores. The three portfolios equally weight ceil(20% of N) cheapest stocks, weight proportionally to v, or weight proportionally to v times the cap score. Cutoff ties in the first portfolio are resolved by stock ID and audited separately. The concentrated cheap-stock selection has the highest mean return and volatility; cap modulation moves the observed score mix closer to the market. See Table 2.3 and Figure 2.7.</w:t>
      </w:r>
    </w:p>
    <w:p>
      <w:pPr>
        <w:keepLines/>
      </w:pPr>
      <w:r>
        <w:t>At November 2018 formation, EW top 20% has both the fewest holdings and the largest single-stock weight: 222 and 0.4505%. Value-score and Value-times-cap each hold 1,109 stocks, with maxima of 0.1763% and 0.3761%. This is expected here: concentrating on one fifth of the universe assigns about 1/222 to each selected stock, while both score methods spread weights across the full universe. The maximum-weight ordering need not hold in every sample. Lower cap-rank exposure does not establish a causal small-cap premium. Original-return sensitivity raises performance substantially, especially for EW top 20%; provisional-flag exclusions preserve the strategy ordering. Neither result validates the flag or proves a Value premium free of selection bias and costs. See Tables 2.4-2.5.</w:t>
      </w:r>
    </w:p>
    <w:p>
      <w:pPr>
        <w:pStyle w:val="Heading1"/>
      </w:pPr>
      <w:r>
        <w:t>2D Tracking error and HML</w:t>
      </w:r>
    </w:p>
    <w:p>
      <w:r>
        <w:t>Value-minus-market annualized tracking errors are 9.51%, 4.90%, 2.74%. Value times cap has the lowest deviation, plausibly because it retains broad holdings and uses the market cap score in its tilt. Pairwise active-return correlations range from 0.759 to 0.958; correlations with HML are 0.554, 0.581, 0.853. The cap-modulated strategy is closest to HML, consistent with value weighting within its component portfolios. HML, however, averages small and big high-minus-low book-to-market portfolios, uses positive book equity, and is long-short; our strategies are monthly-rebalanced long-only portfolios measured against a rank-weighted market. A common subtracted benchmark also contributes to active co-movement. Correlations support a shared Value-related component, not identical exposures or causation. Original-return sensitivity preserves the rankings. Independent reconciliation of MSCI USA and HML with Member 1 remains pending. See Tables 2.6-2.7 and Figure 2.8.</w:t>
      </w:r>
    </w:p>
    <w:sectPr w:rsidR="00FC693F" w:rsidRPr="0006063C" w:rsidSect="00034616">
      <w:pgSz w:w="11905" w:h="16838"/>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FE5108 Part 2 Security Level Investing</dc:title>
  <dc:subject/>
  <dc:creator>FE5108 Part 2</dc:creator>
  <cp:keywords/>
  <dc:description>generated by python-docx</dc:description>
  <cp:lastModifiedBy/>
  <cp:revision>1</cp:revision>
  <dcterms:created xsi:type="dcterms:W3CDTF">2013-12-23T23:15:00Z</dcterms:created>
  <dcterms:modified xsi:type="dcterms:W3CDTF">2013-12-23T23:15:00Z</dcterms:modified>
  <cp:category/>
</cp:coreProperties>
</file>