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206" w:type="dxa"/>
        <w:jc w:val="start"/>
        <w:tblInd w:w="99" w:type="dxa"/>
        <w:tblLayout w:type="fixed"/>
        <w:tblCellMar>
          <w:top w:w="0" w:type="dxa"/>
          <w:start w:w="99" w:type="dxa"/>
          <w:bottom w:w="0" w:type="dxa"/>
          <w:end w:w="99" w:type="dxa"/>
        </w:tblCellMar>
      </w:tblPr>
      <w:tblGrid>
        <w:gridCol w:w="10206"/>
      </w:tblGrid>
      <w:tr>
        <w:trPr>
          <w:trHeight w:val="542" w:hRule="atLeast"/>
        </w:trPr>
        <w:tc>
          <w:tcPr>
            <w:tcW w:w="10206" w:type="dxa"/>
            <w:tcBorders/>
          </w:tcPr>
          <w:p>
            <w:pPr>
              <w:pStyle w:val="Style15"/>
              <w:spacing w:before="120" w:after="0"/>
              <w:jc w:val="center"/>
              <w:rPr>
                <w:rFonts w:hint="eastAsia"/>
                <w:sz w:val="32"/>
                <w:szCs w:val="32"/>
              </w:rPr>
            </w:pPr>
            <w:r>
              <w:rPr>
                <w:rFonts w:ascii="NanumGothic" w:hAnsi="NanumGothic" w:eastAsia="NanumGothic"/>
                <w:b/>
                <w:sz w:val="32"/>
              </w:rPr>
              <w:t>3GPP 요구사항의 한국어 설명에서 규범적 의미 보존을 위한 증거 제약 생성 평가</w:t>
            </w:r>
          </w:p>
        </w:tc>
      </w:tr>
      <w:tr>
        <w:trPr>
          <w:trHeight w:val="230" w:hRule="atLeast"/>
        </w:trPr>
        <w:tc>
          <w:tcPr>
            <w:tcW w:w="10206" w:type="dxa"/>
            <w:tcBorders/>
          </w:tcPr>
          <w:p>
            <w:pPr>
              <w:pStyle w:val="Normal"/>
              <w:snapToGrid w:val="false"/>
              <w:rPr>
                <w:rFonts w:hint="eastAsia"/>
                <w:sz w:val="24"/>
                <w:szCs w:val="32"/>
              </w:rPr>
            </w:pPr>
            <w:r>
              <w:rPr>
                <w:rFonts w:hint="eastAsia"/>
                <w:sz w:val="24"/>
                <w:szCs w:val="32"/>
              </w:rPr>
            </w:r>
          </w:p>
        </w:tc>
      </w:tr>
      <w:tr>
        <w:trPr/>
        <w:tc>
          <w:tcPr>
            <w:tcW w:w="10206" w:type="dxa"/>
            <w:tcBorders/>
          </w:tcPr>
          <w:p>
            <w:pPr>
              <w:pStyle w:val="Style16"/>
              <w:jc w:val="center"/>
              <w:rPr>
                <w:rFonts w:hint="eastAsia"/>
                <w:sz w:val="20"/>
              </w:rPr>
            </w:pPr>
            <w:r>
              <w:rPr>
                <w:rFonts w:ascii="NanumGothic" w:hAnsi="NanumGothic" w:eastAsia="NanumGothic"/>
                <w:b w:val="0"/>
                <w:sz w:val="20"/>
              </w:rPr>
              <w:t>김태훈¹</w:t>
            </w:r>
          </w:p>
          <w:p>
            <w:pPr>
              <w:pStyle w:val="Style16"/>
              <w:jc w:val="center"/>
            </w:pPr>
            <w:r>
              <w:rPr>
                <w:rFonts w:ascii="NanumGothic" w:hAnsi="NanumGothic" w:eastAsia="NanumGothic"/>
                <w:b w:val="0"/>
                <w:sz w:val="20"/>
              </w:rPr>
              <w:t>¹제주대학교 통신공학과 학부생</w:t>
            </w:r>
          </w:p>
          <w:p>
            <w:pPr>
              <w:pStyle w:val="Style16"/>
              <w:jc w:val="center"/>
            </w:pPr>
            <w:r>
              <w:rPr>
                <w:rFonts w:ascii="NanumGothic" w:hAnsi="NanumGothic" w:eastAsia="NanumGothic"/>
                <w:b w:val="0"/>
                <w:sz w:val="18"/>
              </w:rPr>
              <w:t>xogns.k98@gmail.com</w:t>
            </w:r>
          </w:p>
        </w:tc>
      </w:tr>
      <w:tr>
        <w:trPr>
          <w:trHeight w:val="296" w:hRule="atLeast"/>
        </w:trPr>
        <w:tc>
          <w:tcPr>
            <w:tcW w:w="10206" w:type="dxa"/>
            <w:tcBorders/>
          </w:tcPr>
          <w:p>
            <w:pPr>
              <w:pStyle w:val="Style25"/>
              <w:snapToGrid w:val="false"/>
              <w:spacing w:lineRule="auto" w:line="312"/>
              <w:jc w:val="center"/>
              <w:rPr>
                <w:rFonts w:hint="eastAsia"/>
                <w:sz w:val="22"/>
                <w:szCs w:val="22"/>
              </w:rPr>
            </w:pPr>
            <w:r>
              <w:rPr>
                <w:rFonts w:hint="eastAsia"/>
                <w:sz w:val="22"/>
                <w:szCs w:val="22"/>
              </w:rPr>
            </w:r>
          </w:p>
        </w:tc>
      </w:tr>
      <w:tr>
        <w:trPr/>
        <w:tc>
          <w:tcPr>
            <w:tcW w:w="10206" w:type="dxa"/>
            <w:tcBorders/>
          </w:tcPr>
          <w:p>
            <w:pPr>
              <w:pStyle w:val="Style17"/>
              <w:spacing w:before="120" w:after="0"/>
              <w:jc w:val="center"/>
              <w:rPr>
                <w:rFonts w:hint="eastAsia"/>
                <w:sz w:val="32"/>
                <w:szCs w:val="32"/>
              </w:rPr>
            </w:pPr>
            <w:r>
              <w:rPr>
                <w:rFonts w:ascii="NanumGothic" w:hAnsi="NanumGothic" w:eastAsia="NanumGothic"/>
                <w:b/>
                <w:sz w:val="32"/>
              </w:rPr>
              <w:t>Evaluating Evidence-Constrained Generation for Preserving Normative Meaning in Korean Explanations of 3GPP Requirements</w:t>
            </w:r>
          </w:p>
        </w:tc>
      </w:tr>
      <w:tr>
        <w:trPr>
          <w:trHeight w:val="338" w:hRule="atLeast"/>
        </w:trPr>
        <w:tc>
          <w:tcPr>
            <w:tcW w:w="10206" w:type="dxa"/>
            <w:tcBorders/>
          </w:tcPr>
          <w:p>
            <w:pPr>
              <w:pStyle w:val="Normal"/>
              <w:snapToGrid w:val="false"/>
              <w:rPr>
                <w:rFonts w:hint="eastAsia"/>
                <w:sz w:val="32"/>
                <w:szCs w:val="32"/>
              </w:rPr>
            </w:pPr>
            <w:r>
              <w:rPr>
                <w:rFonts w:hint="eastAsia"/>
                <w:sz w:val="32"/>
                <w:szCs w:val="32"/>
              </w:rPr>
            </w:r>
          </w:p>
        </w:tc>
      </w:tr>
      <w:tr>
        <w:trPr/>
        <w:tc>
          <w:tcPr>
            <w:tcW w:w="10206" w:type="dxa"/>
            <w:tcBorders/>
          </w:tcPr>
          <w:p>
            <w:pPr>
              <w:pStyle w:val="Style18"/>
              <w:jc w:val="center"/>
              <w:rPr>
                <w:rFonts w:hint="eastAsia"/>
                <w:sz w:val="20"/>
              </w:rPr>
            </w:pPr>
            <w:r>
              <w:rPr>
                <w:rFonts w:ascii="NanumGothic" w:hAnsi="NanumGothic" w:eastAsia="NanumGothic"/>
                <w:b w:val="0"/>
                <w:sz w:val="20"/>
              </w:rPr>
              <w:t>Taehoon Kim¹</w:t>
            </w:r>
          </w:p>
          <w:p>
            <w:pPr>
              <w:pStyle w:val="Style18"/>
              <w:jc w:val="center"/>
            </w:pPr>
            <w:r>
              <w:rPr>
                <w:rFonts w:ascii="NanumGothic" w:hAnsi="NanumGothic" w:eastAsia="NanumGothic"/>
                <w:b w:val="0"/>
                <w:sz w:val="20"/>
              </w:rPr>
              <w:t>¹Department of Telecommunications Engineering, Jeju National University</w:t>
            </w:r>
          </w:p>
        </w:tc>
      </w:tr>
      <w:tr>
        <w:trPr>
          <w:trHeight w:val="298" w:hRule="atLeast"/>
        </w:trPr>
        <w:tc>
          <w:tcPr>
            <w:tcW w:w="10206" w:type="dxa"/>
            <w:tcBorders/>
          </w:tcPr>
          <w:p>
            <w:pPr>
              <w:pStyle w:val="Normal"/>
              <w:snapToGrid w:val="false"/>
              <w:rPr>
                <w:rFonts w:hint="eastAsia"/>
              </w:rPr>
            </w:pPr>
            <w:r>
              <w:rPr>
                <w:rFonts w:hint="eastAsia"/>
              </w:rPr>
            </w:r>
          </w:p>
        </w:tc>
      </w:tr>
      <w:tr>
        <w:trPr/>
        <w:tc>
          <w:tcPr>
            <w:tcW w:w="10206" w:type="dxa"/>
            <w:tcBorders/>
          </w:tcPr>
          <w:p>
            <w:pPr>
              <w:pStyle w:val="Style19"/>
              <w:spacing w:lineRule="auto" w:line="360"/>
              <w:jc w:val="center"/>
              <w:rPr>
                <w:rFonts w:eastAsia="돋움체" w:hint="eastAsia"/>
                <w:b/>
                <w:sz w:val="20"/>
              </w:rPr>
            </w:pPr>
            <w:r>
              <w:rPr>
                <w:rFonts w:ascii="AppleMyungjo" w:hAnsi="AppleMyungjo" w:eastAsia="AppleMyungjo"/>
                <w:b/>
                <w:sz w:val="20"/>
              </w:rPr>
              <w:t>요       약</w:t>
            </w:r>
          </w:p>
          <w:p>
            <w:pPr>
              <w:pStyle w:val="Style19"/>
            </w:pPr>
            <w:r>
              <w:rPr>
                <w:rFonts w:ascii="AppleMyungjo" w:hAnsi="AppleMyungjo" w:eastAsia="AppleMyungjo"/>
                <w:b w:val="0"/>
                <w:sz w:val="18"/>
              </w:rPr>
              <w:t>3GPP 영문 규격의 한국어 설명에서 규범 강도·행위자·조건·행동·예외의 보존을 평가했다. TS 23.501과 TS 24.501 V18.12.0의 72개 문장에서 원문 단독(C1), 정답 구조(C2), 자동 추출 구조(C3)를 비교했다. 동일 Codex의 지연 재검토·조정 후 완전 보존은 61/72, 71/72, 65/72로 유지됐고 C3−C1 차이는 +5.56%p(p=0.34375)였다. 규범 유형·부정 정답만 추가한 C1M의 첫 평가는 68/72, C1 대비 +9.72%p(p=0.06543)였다. 자동 추출 개선이나 전체 구조와 유형 힌트의 동등성은 입증하지 못했다. 규범 대상 이동과 조건 누락이 남았으며 C1M 지연 재검토 및 독립 전문가 검증은 미완료다.</w:t>
            </w:r>
          </w:p>
          <w:p>
            <w:pPr>
              <w:pStyle w:val="Style19"/>
            </w:pPr>
            <w:r>
              <w:rPr>
                <w:rFonts w:ascii="AppleMyungjo" w:hAnsi="AppleMyungjo" w:eastAsia="AppleMyungjo"/>
                <w:b w:val="0"/>
                <w:sz w:val="16"/>
              </w:rPr>
              <w:t>키워드: 3GPP, 대규모 언어 모델, 규범 언어, 의미 보존, 증거 제약</w:t>
            </w:r>
          </w:p>
        </w:tc>
      </w:tr>
      <w:tr>
        <w:trPr>
          <w:trHeight w:val="327" w:hRule="atLeast"/>
        </w:trPr>
        <w:tc>
          <w:tcPr>
            <w:tcW w:w="10206" w:type="dxa"/>
            <w:tcBorders/>
          </w:tcPr>
          <w:p>
            <w:pPr>
              <w:pStyle w:val="Style23"/>
              <w:snapToGrid w:val="false"/>
              <w:rPr>
                <w:rFonts w:hint="eastAsia"/>
                <w:b/>
              </w:rPr>
            </w:pPr>
            <w:r>
              <w:rPr>
                <w:rFonts w:hint="eastAsia"/>
                <w:b/>
              </w:rPr>
            </w:r>
          </w:p>
        </w:tc>
      </w:tr>
    </w:tbl>
    <w:p>
      <w:pPr>
        <w:sectPr>
          <w:headerReference w:type="default" r:id="rId2"/>
          <w:footerReference w:type="default" r:id="rId3"/>
          <w:type w:val="nextPage"/>
          <w:pgSz w:w="11906" w:h="16838"/>
          <w:pgMar w:left="851" w:right="851" w:gutter="0" w:header="567" w:top="1701" w:footer="567" w:bottom="964"/>
          <w:pgNumType w:fmt="decimal"/>
          <w:formProt w:val="false"/>
          <w:textDirection w:val="lrTb"/>
          <w:docGrid w:type="default" w:linePitch="272" w:charSpace="0"/>
        </w:sectPr>
      </w:pPr>
    </w:p>
    <w:p>
      <w:pPr>
        <w:pStyle w:val="Style22"/>
        <w:keepNext/>
      </w:pPr>
      <w:r>
        <w:t>서론</w:t>
      </w:r>
    </w:p>
    <w:p>
      <w:pPr>
        <w:pStyle w:val="Style20"/>
        <w:spacing w:line="254" w:lineRule="auto" w:after="26"/>
      </w:pPr>
      <w:r>
        <w:t>3GPP 기술규격은 이동통신 시스템의 구조와 프로토콜 동작을 정의한다. ETSI 작성 규칙에서 shall/shall not은 의무·금지, should/should not은 권고·비권고, may는 허용, can은 가능 또는 능력을 뜻한다[1]. may와 can은 한국어에서 모두 ‘~할 수 있다’로 표현되기 쉬우나 규범적 의미는 다르다. 행위자, 적용 조건 또는 예외까지 바뀌면 구현과 시험 판단도 달라질 수 있다.</w:t>
      </w:r>
    </w:p>
    <w:p>
      <w:pPr>
        <w:pStyle w:val="Style20"/>
        <w:spacing w:line="254" w:lineRule="auto" w:after="26"/>
      </w:pPr>
      <w:r>
        <w:t>기존 연구는 3GPP 데이터셋과 질의응답[2], 통신 규격 RAG[3], 한국어 통신 에이전트 평가[4], 교차 참조·버전 변화 검색[5], 규범 해석·보안 추론[6]을 다뤘다. 법률 번역에서도 계층적 제약으로 규범 강도를 보존하는 접근이 제안됐다[7]. 본 연구는 고정된 3GPP 문장의 한국어 설명을 규범 요소별로 평가하고, 원문 단독·정답 구조·자동 추출 구조 조건을 비교한다.</w:t>
      </w:r>
    </w:p>
    <w:p>
      <w:pPr>
        <w:pStyle w:val="Style20"/>
        <w:spacing w:line="254" w:lineRule="auto" w:after="26"/>
      </w:pPr>
      <w:r>
        <w:t>연구 질문은 원문 단독(C1)에 정답 구조(C2) 또는 자동 추출 구조(C3)를 추가할 때 한국어 설명의 완전 의미 보존율이 어떻게 달라지는가이다. 후속 조건 C1M은 C1에 정답 규범 유형·부정만 추가해 정답 힌트의 영향을 살핀다. 실제 검색 정확도나 3GPP 전체 일반화는 연구 범위에 포함하지 않는다.</w:t>
      </w:r>
    </w:p>
    <w:p>
      <w:pPr>
        <w:pStyle w:val="Style22"/>
        <w:keepNext/>
      </w:pPr>
      <w:r>
        <w:t>연구 방법</w:t>
      </w:r>
    </w:p>
    <w:p>
      <w:pPr>
        <w:pStyle w:val="Style20"/>
        <w:spacing w:line="254" w:lineRule="auto" w:after="26"/>
      </w:pPr>
      <w:r>
        <w:t>실험 원문은 ETSI 공식 배포본인 3GPP TS 23.501 및 TS 24.501 V18.12.0 Release 18로 고정했다[8], [9]. 조항 4~8과 4~6에서 추출한 7,727개 후보에 사전 제외·중복 제거 규칙을 적용했다. 최종 72개 문장은 modal 6종별 12개, 규격별 36개이며 단순 8개·조건형 22개·복합형 42개다. should는 규격별 4+8개, should not은 8+4개로 사전 예외를 적용했다. 44개 조항에서 선정했으므로 같은 조항 문장 간 의존성은 남는다. 원문과 actor·modal·polarity·condition·action·exception 라벨 및 prompt를 실행 전에 해시로 동결했다.</w:t>
      </w:r>
    </w:p>
    <w:p>
      <w:pPr>
        <w:pStyle w:val="Style20"/>
        <w:spacing w:line="254" w:lineRule="auto" w:after="26"/>
      </w:pPr>
      <w:r>
        <w:t>C1은 정답 원문과 의미 보존 지시를 받는다. C2는 같은 원문에 평가 gold의 actor·modal·polarity·condition·action·exception을 추가한 oracle structured 조건이다. C3는 질문·gold 없이 원문만으로 여섯 필드를 추출해 기존 C2 생성 prompt에 넣고 불명확하면 보류한다. C1M은 C1 문구를 유지하고 정답 modal·polarity만 추가한다. 생성 모델은 gpt-5.4-mini-2026-03-17, temperature 0, reasoning effort none, 출력 상한 600 tokens이며 C3 추출 상한은 1,200 tokens다. C1/C2는 9월 3일, C3/C1M은 9월 6일 생성했다. C3는 72건 추출·71건 설명·1건 보류이고 C1M은 72건 생성했다. 입력과 응답을 동결했으며 재생성하지 않았다.</w:t>
      </w:r>
    </w:p>
    <w:p>
      <w:pPr>
        <w:pStyle w:val="Style20"/>
        <w:spacing w:line="245" w:lineRule="auto" w:after="16"/>
      </w:pPr>
      <w:r>
        <w:t>주 지표는 설명의 행위자·규범 강도와 부정·조건·행동·예외가 모두 보존되고 미지원 규범 추가가 없을 때 1인 완전 보존율이다. 조건·예외가 없으면 NA, 보류는 전체 분모의 실패다. JSON modal과 출처 ID 복사 일치는 별도 지표다. C1/C2/C3 216개 설명을 Codex가 9월 6일 평가하고 24시간 후 새 순서로 재검토했다. 완전 보존 판정은 216/216, 적용 가능한 이진 판단은 1,128/1,131 일치했고 2개 응답의 세부 차이를 조정했다. C1/C2/C1M 216개도 새로 검토했으나 C1M은 첫 평가다. 행별 ID·조건을 가렸지만 기존 결과를 아는 동일 AI이므로 독립 맹검·전문가 검증이 아니다. Wilson 구간, 20,000회 case paired bootstrap과 양측 exact McNemar를 사용하고 조항 bootstrap은 사후 보조 분석했다.</w:t>
      </w:r>
    </w:p>
    <w:p>
      <w:pPr>
        <w:pStyle w:val="Style22"/>
        <w:keepNext/>
      </w:pPr>
      <w:r>
        <w:t>실험 결과</w:t>
      </w:r>
    </w:p>
    <w:p>
      <w:pPr>
        <w:pStyle w:val="Style21"/>
        <w:keepNext/>
        <w:spacing w:before="20" w:after="20"/>
        <w:jc w:val="center"/>
      </w:pPr>
      <w:r>
        <w:rPr>
          <w:rFonts w:ascii="AppleMyungjo" w:hAnsi="AppleMyungjo" w:eastAsia="AppleMyungjo"/>
          <w:sz w:val="18"/>
        </w:rPr>
        <w:t>&lt;표 1&gt; 의미 평가 결과(각 n=72, *첫 평가 잠정치)</w:t>
      </w:r>
    </w:p>
    <w:tbl>
      <w:tblPr>
        <w:tblW w:type="dxa" w:w="480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600"/>
        <w:gridCol w:w="1020"/>
        <w:gridCol w:w="1160"/>
        <w:gridCol w:w="1160"/>
        <w:gridCol w:w="860"/>
      </w:tblGrid>
      <w:tr>
        <w:trPr>
          <w:tblHeader w:val="true"/>
        </w:trPr>
        <w:tc>
          <w:tcPr>
            <w:tcW w:type="dxa" w:w="600"/>
            <w:vAlign w:val="center"/>
            <w:tcMar>
              <w:top w:w="45" w:type="dxa"/>
              <w:left w:w="45" w:type="dxa"/>
              <w:bottom w:w="45" w:type="dxa"/>
              <w:right w:w="45" w:type="dxa"/>
            </w:tcMar>
            <w:shd w:fill="D9E2F3"/>
          </w:tcPr>
          <w:p>
            <w:pPr>
              <w:spacing w:before="0" w:after="0" w:line="240" w:lineRule="auto"/>
              <w:jc w:val="center"/>
            </w:pPr>
            <w:r>
              <w:rPr>
                <w:rFonts w:ascii="AppleMyungjo" w:hAnsi="AppleMyungjo" w:eastAsia="AppleMyungjo"/>
                <w:b/>
                <w:sz w:val="14"/>
              </w:rPr>
              <w:t>조건</w:t>
            </w:r>
          </w:p>
        </w:tc>
        <w:tc>
          <w:tcPr>
            <w:tcW w:type="dxa" w:w="1020"/>
            <w:vAlign w:val="center"/>
            <w:tcMar>
              <w:top w:w="45" w:type="dxa"/>
              <w:left w:w="45" w:type="dxa"/>
              <w:bottom w:w="45" w:type="dxa"/>
              <w:right w:w="45" w:type="dxa"/>
            </w:tcMar>
            <w:shd w:fill="D9E2F3"/>
          </w:tcPr>
          <w:p>
            <w:pPr>
              <w:spacing w:before="0" w:after="0" w:line="240" w:lineRule="auto"/>
              <w:jc w:val="center"/>
            </w:pPr>
            <w:r>
              <w:rPr>
                <w:rFonts w:ascii="AppleMyungjo" w:hAnsi="AppleMyungjo" w:eastAsia="AppleMyungjo"/>
                <w:b/>
                <w:sz w:val="14"/>
              </w:rPr>
              <w:t>JSON</w:t>
              <w:br/>
              <w:t>modal</w:t>
            </w:r>
          </w:p>
        </w:tc>
        <w:tc>
          <w:tcPr>
            <w:tcW w:type="dxa" w:w="1160"/>
            <w:vAlign w:val="center"/>
            <w:tcMar>
              <w:top w:w="45" w:type="dxa"/>
              <w:left w:w="45" w:type="dxa"/>
              <w:bottom w:w="45" w:type="dxa"/>
              <w:right w:w="45" w:type="dxa"/>
            </w:tcMar>
            <w:shd w:fill="D9E2F3"/>
          </w:tcPr>
          <w:p>
            <w:pPr>
              <w:spacing w:before="0" w:after="0" w:line="240" w:lineRule="auto"/>
              <w:jc w:val="center"/>
            </w:pPr>
            <w:r>
              <w:rPr>
                <w:rFonts w:ascii="AppleMyungjo" w:hAnsi="AppleMyungjo" w:eastAsia="AppleMyungjo"/>
                <w:b/>
                <w:sz w:val="14"/>
              </w:rPr>
              <w:t>설명</w:t>
              <w:br/>
              <w:t>완전 보존</w:t>
            </w:r>
          </w:p>
        </w:tc>
        <w:tc>
          <w:tcPr>
            <w:tcW w:type="dxa" w:w="1160"/>
            <w:vAlign w:val="center"/>
            <w:tcMar>
              <w:top w:w="45" w:type="dxa"/>
              <w:left w:w="45" w:type="dxa"/>
              <w:bottom w:w="45" w:type="dxa"/>
              <w:right w:w="45" w:type="dxa"/>
            </w:tcMar>
            <w:shd w:fill="D9E2F3"/>
          </w:tcPr>
          <w:p>
            <w:pPr>
              <w:spacing w:before="0" w:after="0" w:line="240" w:lineRule="auto"/>
              <w:jc w:val="center"/>
            </w:pPr>
            <w:r>
              <w:rPr>
                <w:rFonts w:ascii="AppleMyungjo" w:hAnsi="AppleMyungjo" w:eastAsia="AppleMyungjo"/>
                <w:b/>
                <w:sz w:val="14"/>
              </w:rPr>
              <w:t>미지원</w:t>
              <w:br/>
              <w:t>추가</w:t>
            </w:r>
          </w:p>
        </w:tc>
        <w:tc>
          <w:tcPr>
            <w:tcW w:type="dxa" w:w="860"/>
            <w:vAlign w:val="center"/>
            <w:tcMar>
              <w:top w:w="45" w:type="dxa"/>
              <w:left w:w="45" w:type="dxa"/>
              <w:bottom w:w="45" w:type="dxa"/>
              <w:right w:w="45" w:type="dxa"/>
            </w:tcMar>
            <w:shd w:fill="D9E2F3"/>
          </w:tcPr>
          <w:p>
            <w:pPr>
              <w:spacing w:before="0" w:after="0" w:line="240" w:lineRule="auto"/>
              <w:jc w:val="center"/>
            </w:pPr>
            <w:r>
              <w:rPr>
                <w:rFonts w:ascii="AppleMyungjo" w:hAnsi="AppleMyungjo" w:eastAsia="AppleMyungjo"/>
                <w:b/>
                <w:sz w:val="14"/>
              </w:rPr>
              <w:t>인용 ID</w:t>
              <w:br/>
              <w:t>일치</w:t>
            </w:r>
          </w:p>
        </w:tc>
      </w:tr>
      <w:tr>
        <w:tc>
          <w:tcPr>
            <w:tcW w:type="dxa" w:w="600"/>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4"/>
              </w:rPr>
              <w:t>C1</w:t>
            </w:r>
          </w:p>
        </w:tc>
        <w:tc>
          <w:tcPr>
            <w:tcW w:type="dxa" w:w="1020"/>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4"/>
              </w:rPr>
              <w:t>56/72</w:t>
              <w:br/>
              <w:t>(77.78%)</w:t>
            </w:r>
          </w:p>
        </w:tc>
        <w:tc>
          <w:tcPr>
            <w:tcW w:type="dxa" w:w="1160"/>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4"/>
              </w:rPr>
              <w:t>61/72</w:t>
              <w:br/>
              <w:t>(84.72%)</w:t>
            </w:r>
          </w:p>
        </w:tc>
        <w:tc>
          <w:tcPr>
            <w:tcW w:type="dxa" w:w="1160"/>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4"/>
              </w:rPr>
              <w:t>9/72</w:t>
              <w:br/>
              <w:t>(12.50%)</w:t>
            </w:r>
          </w:p>
        </w:tc>
        <w:tc>
          <w:tcPr>
            <w:tcW w:type="dxa" w:w="860"/>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4"/>
              </w:rPr>
              <w:t>72/72</w:t>
              <w:br/>
              <w:t>(100%)</w:t>
            </w:r>
          </w:p>
        </w:tc>
      </w:tr>
      <w:tr>
        <w:tc>
          <w:tcPr>
            <w:tcW w:type="dxa" w:w="600"/>
            <w:vAlign w:val="center"/>
            <w:tcMar>
              <w:top w:w="45" w:type="dxa"/>
              <w:left w:w="45" w:type="dxa"/>
              <w:bottom w:w="45" w:type="dxa"/>
              <w:right w:w="45" w:type="dxa"/>
            </w:tcMar>
            <w:shd w:fill="F6F8FB"/>
          </w:tcPr>
          <w:p>
            <w:pPr>
              <w:spacing w:before="0" w:after="0" w:line="240" w:lineRule="auto"/>
              <w:jc w:val="center"/>
            </w:pPr>
            <w:r>
              <w:rPr>
                <w:rFonts w:ascii="AppleMyungjo" w:hAnsi="AppleMyungjo" w:eastAsia="AppleMyungjo"/>
                <w:b w:val="0"/>
                <w:sz w:val="14"/>
              </w:rPr>
              <w:t>C1M*</w:t>
            </w:r>
          </w:p>
        </w:tc>
        <w:tc>
          <w:tcPr>
            <w:tcW w:type="dxa" w:w="1020"/>
            <w:vAlign w:val="center"/>
            <w:tcMar>
              <w:top w:w="45" w:type="dxa"/>
              <w:left w:w="45" w:type="dxa"/>
              <w:bottom w:w="45" w:type="dxa"/>
              <w:right w:w="45" w:type="dxa"/>
            </w:tcMar>
            <w:shd w:fill="F6F8FB"/>
          </w:tcPr>
          <w:p>
            <w:pPr>
              <w:spacing w:before="0" w:after="0" w:line="240" w:lineRule="auto"/>
              <w:jc w:val="center"/>
            </w:pPr>
            <w:r>
              <w:rPr>
                <w:rFonts w:ascii="AppleMyungjo" w:hAnsi="AppleMyungjo" w:eastAsia="AppleMyungjo"/>
                <w:b w:val="0"/>
                <w:sz w:val="14"/>
              </w:rPr>
              <w:t>72/72</w:t>
              <w:br/>
              <w:t>(100%)</w:t>
            </w:r>
          </w:p>
        </w:tc>
        <w:tc>
          <w:tcPr>
            <w:tcW w:type="dxa" w:w="1160"/>
            <w:vAlign w:val="center"/>
            <w:tcMar>
              <w:top w:w="45" w:type="dxa"/>
              <w:left w:w="45" w:type="dxa"/>
              <w:bottom w:w="45" w:type="dxa"/>
              <w:right w:w="45" w:type="dxa"/>
            </w:tcMar>
            <w:shd w:fill="F6F8FB"/>
          </w:tcPr>
          <w:p>
            <w:pPr>
              <w:spacing w:before="0" w:after="0" w:line="240" w:lineRule="auto"/>
              <w:jc w:val="center"/>
            </w:pPr>
            <w:r>
              <w:rPr>
                <w:rFonts w:ascii="AppleMyungjo" w:hAnsi="AppleMyungjo" w:eastAsia="AppleMyungjo"/>
                <w:b w:val="0"/>
                <w:sz w:val="14"/>
              </w:rPr>
              <w:t>68/72</w:t>
              <w:br/>
              <w:t>(94.44%)</w:t>
            </w:r>
          </w:p>
        </w:tc>
        <w:tc>
          <w:tcPr>
            <w:tcW w:type="dxa" w:w="1160"/>
            <w:vAlign w:val="center"/>
            <w:tcMar>
              <w:top w:w="45" w:type="dxa"/>
              <w:left w:w="45" w:type="dxa"/>
              <w:bottom w:w="45" w:type="dxa"/>
              <w:right w:w="45" w:type="dxa"/>
            </w:tcMar>
            <w:shd w:fill="F6F8FB"/>
          </w:tcPr>
          <w:p>
            <w:pPr>
              <w:spacing w:before="0" w:after="0" w:line="240" w:lineRule="auto"/>
              <w:jc w:val="center"/>
            </w:pPr>
            <w:r>
              <w:rPr>
                <w:rFonts w:ascii="AppleMyungjo" w:hAnsi="AppleMyungjo" w:eastAsia="AppleMyungjo"/>
                <w:b w:val="0"/>
                <w:sz w:val="14"/>
              </w:rPr>
              <w:t>3/72</w:t>
              <w:br/>
              <w:t>(4.17%)</w:t>
            </w:r>
          </w:p>
        </w:tc>
        <w:tc>
          <w:tcPr>
            <w:tcW w:type="dxa" w:w="860"/>
            <w:vAlign w:val="center"/>
            <w:tcMar>
              <w:top w:w="45" w:type="dxa"/>
              <w:left w:w="45" w:type="dxa"/>
              <w:bottom w:w="45" w:type="dxa"/>
              <w:right w:w="45" w:type="dxa"/>
            </w:tcMar>
            <w:shd w:fill="F6F8FB"/>
          </w:tcPr>
          <w:p>
            <w:pPr>
              <w:spacing w:before="0" w:after="0" w:line="240" w:lineRule="auto"/>
              <w:jc w:val="center"/>
            </w:pPr>
            <w:r>
              <w:rPr>
                <w:rFonts w:ascii="AppleMyungjo" w:hAnsi="AppleMyungjo" w:eastAsia="AppleMyungjo"/>
                <w:b w:val="0"/>
                <w:sz w:val="14"/>
              </w:rPr>
              <w:t>72/72</w:t>
              <w:br/>
              <w:t>(100%)</w:t>
            </w:r>
          </w:p>
        </w:tc>
      </w:tr>
      <w:tr>
        <w:tc>
          <w:tcPr>
            <w:tcW w:type="dxa" w:w="600"/>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4"/>
              </w:rPr>
              <w:t>C2</w:t>
            </w:r>
          </w:p>
        </w:tc>
        <w:tc>
          <w:tcPr>
            <w:tcW w:type="dxa" w:w="1020"/>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4"/>
              </w:rPr>
              <w:t>72/72</w:t>
              <w:br/>
              <w:t>(100%)</w:t>
            </w:r>
          </w:p>
        </w:tc>
        <w:tc>
          <w:tcPr>
            <w:tcW w:type="dxa" w:w="1160"/>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4"/>
              </w:rPr>
              <w:t>71/72</w:t>
              <w:br/>
              <w:t>(98.61%)</w:t>
            </w:r>
          </w:p>
        </w:tc>
        <w:tc>
          <w:tcPr>
            <w:tcW w:type="dxa" w:w="1160"/>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4"/>
              </w:rPr>
              <w:t>0/72</w:t>
              <w:br/>
              <w:t>(0.00%)</w:t>
            </w:r>
          </w:p>
        </w:tc>
        <w:tc>
          <w:tcPr>
            <w:tcW w:type="dxa" w:w="860"/>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4"/>
              </w:rPr>
              <w:t>72/72</w:t>
              <w:br/>
              <w:t>(100%)</w:t>
            </w:r>
          </w:p>
        </w:tc>
      </w:tr>
      <w:tr>
        <w:tc>
          <w:tcPr>
            <w:tcW w:type="dxa" w:w="600"/>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4"/>
              </w:rPr>
              <w:t>C3</w:t>
            </w:r>
          </w:p>
        </w:tc>
        <w:tc>
          <w:tcPr>
            <w:tcW w:type="dxa" w:w="1020"/>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4"/>
              </w:rPr>
              <w:t>65/72</w:t>
              <w:br/>
              <w:t>(90.28%)</w:t>
            </w:r>
          </w:p>
        </w:tc>
        <w:tc>
          <w:tcPr>
            <w:tcW w:type="dxa" w:w="1160"/>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4"/>
              </w:rPr>
              <w:t>65/72</w:t>
              <w:br/>
              <w:t>(90.28%)</w:t>
            </w:r>
          </w:p>
        </w:tc>
        <w:tc>
          <w:tcPr>
            <w:tcW w:type="dxa" w:w="1160"/>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4"/>
              </w:rPr>
              <w:t>5/72</w:t>
              <w:br/>
              <w:t>(6.94%)</w:t>
            </w:r>
          </w:p>
        </w:tc>
        <w:tc>
          <w:tcPr>
            <w:tcW w:type="dxa" w:w="860"/>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4"/>
              </w:rPr>
              <w:t>71/72</w:t>
              <w:br/>
              <w:t>(98.61%)</w:t>
            </w:r>
          </w:p>
        </w:tc>
      </w:tr>
    </w:tbl>
    <w:p>
      <w:pPr>
        <w:pStyle w:val="Style20"/>
        <w:spacing w:line="254" w:lineRule="auto" w:after="26"/>
      </w:pPr>
      <w:r>
        <w:t>표 1에서 C1/C2/C3의 지연 조정 결과는 61/72, 71/72, 65/72다. C3−C1은 +5.56%p(case bootstrap 95% CI −2.78~+13.89%p, p=0.34375)로 개선을 확정할 수 없다. C3만 성공 7건, C1만 성공 3건이며, 44개 조항 bootstrap 구간도 −2.53~+15.52%p다. 원래 모호성 3건 제외 시 C1 59/69, C3 64/69, p=0.17969다. C3의 인용 71/72는 보류를 포함한 ID 복사 결과다.</w:t>
      </w:r>
    </w:p>
    <w:p>
      <w:pPr>
        <w:keepNext/>
        <w:spacing w:before="20" w:after="0"/>
        <w:jc w:val="center"/>
      </w:pPr>
      <w:r>
        <w:drawing>
          <wp:inline xmlns:a="http://schemas.openxmlformats.org/drawingml/2006/main">
            <wp:extent cx="2926080" cy="2081784"/>
            <wp:docPr id="1" name="Picture 1" descr="6개 modal별 C1 C1M C2 C3 완전 보존 성공 수. 각 셀 12건. C1M은 첫 평가 잠정치, 다른 조건은 지연 재검토 조정 결과."/>
            <wp:cNvGraphicFramePr>
              <a:graphicFrameLocks noChangeAspect="1"/>
            </wp:cNvGraphicFramePr>
            <a:graphic>
              <a:graphicData uri="http://schemas.openxmlformats.org/drawingml/2006/picture">
                <pic:pic>
                  <pic:nvPicPr>
                    <pic:cNvPr id="0" name="modal_preservation_paper_v4.png"/>
                    <pic:cNvPicPr/>
                  </pic:nvPicPr>
                  <pic:blipFill>
                    <a:blip r:embed="rId11"/>
                    <a:stretch>
                      <a:fillRect/>
                    </a:stretch>
                  </pic:blipFill>
                  <pic:spPr>
                    <a:xfrm>
                      <a:off x="0" y="0"/>
                      <a:ext cx="2926080" cy="2081784"/>
                    </a:xfrm>
                    <a:prstGeom prst="rect"/>
                  </pic:spPr>
                </pic:pic>
              </a:graphicData>
            </a:graphic>
          </wp:inline>
        </w:drawing>
      </w:r>
    </w:p>
    <w:p>
      <w:pPr>
        <w:pStyle w:val="Style21"/>
        <w:keepNext/>
        <w:spacing w:before="20" w:after="20"/>
        <w:jc w:val="center"/>
      </w:pPr>
      <w:r>
        <w:rPr>
          <w:rFonts w:ascii="AppleMyungjo" w:hAnsi="AppleMyungjo" w:eastAsia="AppleMyungjo"/>
          <w:sz w:val="18"/>
        </w:rPr>
        <w:t>(그림 1) Modal별 완전 보존 성공 수(각 n=12, *첫 평가)</w:t>
      </w:r>
    </w:p>
    <w:p>
      <w:pPr>
        <w:pStyle w:val="Style20"/>
        <w:spacing w:line="254" w:lineRule="auto" w:after="26"/>
      </w:pPr>
      <w:r>
        <w:t>C1M 첫 평가는 68/72로 C1 대비 +9.72%p(95% CI +1.39~+18.06%p, p=0.06543)였다. C1M만 성공 9건, C1만 성공 2건이다. 원래 모호성 3건 제외 시 67/69 대 59/69, p=0.02148로 해석이 달라진다. C2−C1M은 +4.17%p(95% CI −1.39~+11.11%p, p=0.375)이나 비유의성을 동등성으로 보지 않는다. 작은 이산 표본의 exact 검정과 bootstrap 결과를 함께 보고하며 제외 분석만으로 개선을 주장하지 않는다.</w:t>
      </w:r>
    </w:p>
    <w:p>
      <w:pPr>
        <w:pStyle w:val="Style20"/>
        <w:spacing w:line="245" w:lineRule="auto" w:after="16"/>
      </w:pPr>
      <w:r>
        <w:t>C1M의 오류 4건은 규범 대상을 접근 제한 능력 또는 DSCP 설정에 옮긴 경우, T3526 시작 원인 누락, SNPN 식별자 누락이었다. C3에는 context 실제 수립을 수립 능력으로 바꾸거나 단순 참조를 예외로 설명한 오류도 있었다. 추출의 not all·98% 누락은 JSON 라벨만으로 검출되지 않았다. 이전 동결 평가(C1 65/72, C2 72/72)와 달랐던 9건은 이번 지연 검토에서도 수정 판정이 유지됐다. may have the capability와 원문 범위 모호성은 남으며, C1M의 해석이 민감한 성공 2건을 실패로 보는 사후 분석에서는 66/72, C1 대비 p=0.22656이다.</w:t>
      </w:r>
    </w:p>
    <w:p>
      <w:pPr>
        <w:pStyle w:val="Style22"/>
        <w:keepNext/>
      </w:pPr>
      <w:r>
        <w:t>결론 및 한계</w:t>
      </w:r>
    </w:p>
    <w:p>
      <w:pPr>
        <w:pStyle w:val="Style20"/>
        <w:spacing w:line="254" w:lineRule="auto" w:after="26"/>
      </w:pPr>
      <w:r>
        <w:t>정답 구조와 규범 유형 힌트 조건은 높은 보존율을 보였으나 자동 추출의 원문 단독 대비 개선은 이 표본에서 확정되지 않았다. 규범 유형 이름뿐 아니라 그것이 적용되는 주체·행동, 조건과 예외의 범위를 보존해야 한다. 단일 AI의 재검토 일치는 판단 안정성의 관찰이며 정답 타당도를 보장하지 않는다.</w:t>
      </w:r>
    </w:p>
    <w:p>
      <w:pPr>
        <w:pStyle w:val="Style20"/>
        <w:spacing w:line="254" w:lineRule="auto" w:after="26"/>
      </w:pPr>
      <w:r>
        <w:t>본 연구는 단일 모델·두 규격 한 버전·72개 문장 및 Codex 기반 라벨과 평가에 한정된다. C1M은 지연 재검토 전 잠정치다. C2와 C1M은 구조 필드 외에 원래 지시문도 달라 순수한 구조 효과를 분리하지 못하고, 후속 설계·생성일 차이도 남는다. 추출기에서 규범 구절과 대상의 연결·양화·참조 역할을 보완한 뒤 개발에 사용하지 않은 새 조항에서 검증해야 한다.</w:t>
      </w:r>
    </w:p>
    <w:p>
      <w:pPr>
        <w:pStyle w:val="Style23"/>
        <w:keepNext/>
        <w:jc w:val="center"/>
      </w:pPr>
      <w:r>
        <w:rPr>
          <w:rFonts w:ascii="AppleMyungjo" w:hAnsi="AppleMyungjo" w:eastAsia="AppleMyungjo"/>
          <w:b/>
          <w:sz w:val="18"/>
        </w:rPr>
        <w:t>참고문헌</w:t>
      </w:r>
    </w:p>
    <w:p>
      <w:pPr>
        <w:pStyle w:val="Style23"/>
        <w:spacing w:line="240" w:lineRule="auto" w:after="14"/>
        <w:ind w:left="173" w:hanging="173"/>
      </w:pPr>
      <w:r>
        <w:rPr>
          <w:rFonts w:ascii="AppleMyungjo" w:hAnsi="AppleMyungjo" w:eastAsia="AppleMyungjo"/>
          <w:sz w:val="16"/>
        </w:rPr>
        <w:t>[1] ETSI, "ETSI Drafting Rules," Clause 3.2, Verbal forms for the expression of provisions, 2026.</w:t>
      </w:r>
    </w:p>
    <w:p>
      <w:pPr>
        <w:pStyle w:val="Style23"/>
        <w:spacing w:line="240" w:lineRule="auto" w:after="14"/>
        <w:ind w:left="173" w:hanging="173"/>
      </w:pPr>
      <w:r>
        <w:rPr>
          <w:rFonts w:ascii="AppleMyungjo" w:hAnsi="AppleMyungjo" w:eastAsia="AppleMyungjo"/>
          <w:sz w:val="16"/>
        </w:rPr>
        <w:t>[2] R. Nikbakht, M. Benzaghta, and G. Geraci, "TSpec-LLM: An Open-source Dataset for LLM Understanding of 3GPP Specifications," arXiv:2406.01768, 2024.</w:t>
      </w:r>
    </w:p>
    <w:p>
      <w:pPr>
        <w:pStyle w:val="Style23"/>
        <w:spacing w:line="240" w:lineRule="auto" w:after="14"/>
        <w:ind w:left="173" w:hanging="173"/>
      </w:pPr>
      <w:r>
        <w:rPr>
          <w:rFonts w:ascii="AppleMyungjo" w:hAnsi="AppleMyungjo" w:eastAsia="AppleMyungjo"/>
          <w:sz w:val="16"/>
        </w:rPr>
        <w:t>[3] G. M. Yilma, J. A. Ayala-Romero, A. Garcia-Saavedra, and X. Costa-Perez, "TelecomRAG: Taming Telecom Standards with Retrieval Augmented Generation and LLMs," arXiv:2406.07053, 2024.</w:t>
      </w:r>
    </w:p>
    <w:p>
      <w:pPr>
        <w:pStyle w:val="Style23"/>
        <w:spacing w:line="240" w:lineRule="auto" w:after="14"/>
        <w:ind w:left="173" w:hanging="173"/>
      </w:pPr>
      <w:r>
        <w:rPr>
          <w:rFonts w:ascii="AppleMyungjo" w:hAnsi="AppleMyungjo" w:eastAsia="AppleMyungjo"/>
          <w:sz w:val="16"/>
        </w:rPr>
        <w:t>[4] S. Lee et al., "TelAgentBench: A Multi-faceted Benchmark for Evaluating LLM-based Agents in Telecommunications," Proc. EMNLP Industry Track, pp. 1173-1211, 2025.</w:t>
      </w:r>
    </w:p>
    <w:p>
      <w:pPr>
        <w:pStyle w:val="Style23"/>
        <w:spacing w:line="240" w:lineRule="auto" w:after="14"/>
        <w:ind w:left="173" w:hanging="173"/>
      </w:pPr>
      <w:r>
        <w:rPr>
          <w:rFonts w:ascii="AppleMyungjo" w:hAnsi="AppleMyungjo" w:eastAsia="AppleMyungjo"/>
          <w:sz w:val="16"/>
        </w:rPr>
        <w:t>[5] A. G. Manvattira, Y. Xu, Z. Dang, and S. Lu, "DeepSpecs: Expert-Level Question Answering in 5G," Findings of ACL, pp. 26935-26953, 2026.</w:t>
      </w:r>
    </w:p>
    <w:p>
      <w:pPr>
        <w:pStyle w:val="Style23"/>
        <w:spacing w:line="240" w:lineRule="auto" w:after="14"/>
        <w:ind w:left="173" w:hanging="173"/>
      </w:pPr>
      <w:r>
        <w:rPr>
          <w:rFonts w:ascii="AppleMyungjo" w:hAnsi="AppleMyungjo" w:eastAsia="AppleMyungjo"/>
          <w:sz w:val="16"/>
        </w:rPr>
        <w:t>[6] K. Xie, X. Zhao, Y. Hu, S. Yuan, and T. Xie, "CellularSpecSec-Bench: A Staged Benchmark for Evidence-Grounded Interpretation and Security Reasoning over 3GPP Specifications," arXiv:2601.12716, 2026.</w:t>
      </w:r>
    </w:p>
    <w:p>
      <w:pPr>
        <w:pStyle w:val="Style23"/>
        <w:spacing w:line="240" w:lineRule="auto" w:after="14"/>
        <w:ind w:left="173" w:hanging="173"/>
      </w:pPr>
      <w:r>
        <w:rPr>
          <w:rFonts w:ascii="AppleMyungjo" w:hAnsi="AppleMyungjo"/>
          <w:sz w:val="16"/>
        </w:rPr>
        <w:t>[7] L. Meng et al., "Beyond multi-agent translation: engineering fidelity in legislative text translation via hierarchical control," Artificial Intelligence and Law, 2026, doi:10.1007/s10506-026-09529-2.</w:t>
      </w:r>
    </w:p>
    <w:p>
      <w:pPr>
        <w:pStyle w:val="Style23"/>
        <w:spacing w:line="240" w:lineRule="auto" w:after="14"/>
        <w:ind w:left="173" w:hanging="173"/>
      </w:pPr>
      <w:r>
        <w:rPr>
          <w:rFonts w:ascii="AppleMyungjo" w:hAnsi="AppleMyungjo" w:eastAsia="AppleMyungjo"/>
          <w:sz w:val="16"/>
        </w:rPr>
        <w:t>[8] ETSI, "5G; System architecture for the 5G System (5GS)," ETSI TS 123 501 V18.12.0, 3GPP TS 23.501 Release 18, 2026.</w:t>
      </w:r>
    </w:p>
    <w:p>
      <w:pPr>
        <w:pStyle w:val="Style23"/>
        <w:spacing w:line="240" w:lineRule="auto" w:after="14"/>
        <w:ind w:left="173" w:hanging="173"/>
      </w:pPr>
      <w:r>
        <w:rPr>
          <w:rFonts w:ascii="AppleMyungjo" w:hAnsi="AppleMyungjo" w:eastAsia="AppleMyungjo"/>
          <w:sz w:val="16"/>
        </w:rPr>
        <w:t>[9] ETSI, "5G; Non-Access-Stratum (NAS) protocol for 5G System (5GS); Stage 3," ETSI TS 124 501 V18.12.0, 3GPP TS 24.501 Release 18, 2025.</w:t>
      </w:r>
    </w:p>
    <w:sectPr>
      <w:type w:val="continuous"/>
      <w:pgSz w:w="11906" w:h="16838"/>
      <w:pgMar w:left="900" w:right="851" w:gutter="0" w:header="567" w:top="1701" w:footer="567" w:bottom="964"/>
      <w:cols w:num="2" w:space="284" w:equalWidth="true" w:sep="false"/>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Wingdings">
    <w:charset w:val="02"/>
    <w:family w:val="auto"/>
    <w:pitch w:val="variable"/>
  </w:font>
  <w:font w:name="Liberation Sans">
    <w:altName w:val="Arial"/>
    <w:charset w:val="01"/>
    <w:family w:val="swiss"/>
    <w:pitch w:val="variable"/>
  </w:font>
  <w:font w:name="바탕">
    <w:altName w:val="Batang"/>
    <w:charset w:val="81"/>
    <w:family w:val="roman"/>
    <w:pitch w:val="variable"/>
  </w:font>
  <w:font w:name="굴림">
    <w:altName w:val="Gulim"/>
    <w:charset w:val="81"/>
    <w:family w:val="modern"/>
    <w:pitch w:val="variable"/>
  </w:font>
  <w:font w:name="바탕체">
    <w:charset w:val="81"/>
    <w:family w:val="roman"/>
    <w:pitch w:val="default"/>
  </w:font>
  <w:font w:name="한컴바탕">
    <w:charset w:val="81"/>
    <w:family w:val="roman"/>
    <w:pitch w:val="variable"/>
  </w:font>
  <w:font w:name="HY그래픽">
    <w:altName w:val="바탕"/>
    <w:charset w:val="81"/>
    <w:family w:val="roman"/>
    <w:pitch w:val="variable"/>
  </w:font>
  <w:font w:name="함초롬돋움">
    <w:charset w:val="81"/>
    <w:family w:val="modern"/>
    <w:pitch w:val="variable"/>
  </w:font>
  <w:font w:name="함초롱">
    <w:altName w:val="바탕"/>
    <w:charset w:val="8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rFonts w:hint="eastAsia"/>
      </w:rPr>
    </w:pPr>
    <w:r>
      <w:rPr>
        <w:rFonts w:hint="eastAsia"/>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14605" cy="146685"/>
              <wp:effectExtent l="0" t="0" r="0" b="0"/>
              <wp:wrapSquare wrapText="bothSides"/>
              <wp:docPr id="1" name="Frame1" descr="한국정보처리학회 학술발표대회 바닥글 표식"/>
              <a:graphic xmlns:a="http://schemas.openxmlformats.org/drawingml/2006/main">
                <a:graphicData uri="http://schemas.microsoft.com/office/word/2010/wordprocessingShape">
                  <wps:wsp>
                    <wps:cNvSpPr txBox="1"/>
                    <wps:spPr>
                      <a:xfrm>
                        <a:off x="0" y="0"/>
                        <a:ext cx="14605" cy="146685"/>
                      </a:xfrm>
                      <a:prstGeom prst="rect"/>
                      <a:solidFill>
                        <a:srgbClr val="FFFFFF">
                          <a:alpha val="0"/>
                        </a:srgbClr>
                      </a:solidFill>
                    </wps:spPr>
                    <wps:txbx>
                      <w:txbxContent>
                        <w:p>
                          <w:pPr>
                            <w:pStyle w:val="Footer"/>
                            <w:rPr>
                              <w:rStyle w:val="PageNumber"/>
                            </w:rPr>
                          </w:pPr>
                          <w:r>
                            <w:rPr/>
                          </w:r>
                        </w:p>
                      </w:txbxContent>
                    </wps:txbx>
                    <wps:bodyPr anchor="t" lIns="0" tIns="0" rIns="0" bIns="0">
                      <a:noAutofit/>
                    </wps:bodyPr>
                  </wps:wsp>
                </a:graphicData>
              </a:graphic>
            </wp:anchor>
          </w:drawing>
        </mc:Choice>
        <mc:Fallback>
          <w:pict>
            <v:rect fillcolor="#FFFFFF" style="position:absolute;rotation:-0;width:1.15pt;height:11.5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Pr>
                    </w:pPr>
                    <w:r>
                      <w:rPr/>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hint="eastAsia"/>
      </w:rPr>
    </w:pPr>
    <w:r>
      <w:rPr>
        <w:rFonts w:hint="eastAsia"/>
      </w:rPr>
    </w:r>
  </w:p>
  <w:p>
    <w:pPr>
      <w:pStyle w:val="Header"/>
      <w:rPr>
        <w:rFonts w:hint="eastAsia"/>
      </w:rPr>
    </w:pPr>
    <w:r>
      <w:rPr>
        <w:rFonts w:hint="eastAsia"/>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849"/>
        </w:tabs>
        <w:ind w:start="849" w:hanging="225"/>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851"/>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US" w:eastAsia="ko-KR" w:bidi="hi-IN"/>
      </w:rPr>
    </w:rPrDefault>
    <w:pPrDefault>
      <w:pPr>
        <w:suppressAutoHyphens w:val="true"/>
      </w:pPr>
    </w:pPrDefault>
  </w:docDefaults>
  <w:style w:type="paragraph" w:styleId="Normal">
    <w:name w:val="Normal"/>
    <w:qFormat/>
    <w:pPr>
      <w:widowControl w:val="false"/>
      <w:bidi w:val="0"/>
      <w:jc w:val="both"/>
    </w:pPr>
    <w:rPr>
      <w:rFonts w:ascii="AppleMyungjo" w:hAnsi="AppleMyungjo" w:eastAsia="AppleMyungjo" w:cs="Times New Roman"/>
      <w:color w:val="auto"/>
      <w:kern w:val="2"/>
      <w:sz w:val="20"/>
      <w:szCs w:val="20"/>
      <w:lang w:bidi="ar-SA" w:val="en-US" w:eastAsia="ko-KR"/>
    </w:rPr>
  </w:style>
  <w:style w:type="character" w:styleId="WW8Num1z0">
    <w:name w:val="WW8Num1z0"/>
    <w:qFormat/>
    <w:rPr>
      <w:rFonts w:hint="eastAsia"/>
    </w:rPr>
  </w:style>
  <w:style w:type="character" w:styleId="WW8Num2z0">
    <w:name w:val="WW8Num2z0"/>
    <w:qFormat/>
    <w:rPr>
      <w:rFonts w:ascii="Wingdings" w:hAnsi="Wingdings" w:eastAsia="바탕체" w:cs="Times New Roman"/>
    </w:rPr>
  </w:style>
  <w:style w:type="character" w:styleId="WW8Num2z1">
    <w:name w:val="WW8Num2z1"/>
    <w:qFormat/>
    <w:rPr>
      <w:rFonts w:ascii="Wingdings" w:hAnsi="Wingdings" w:cs="Wingdings"/>
    </w:rPr>
  </w:style>
  <w:style w:type="character" w:styleId="Style14">
    <w:name w:val="기본 단락 글꼴"/>
    <w:qFormat/>
    <w:rPr/>
  </w:style>
  <w:style w:type="character" w:styleId="Hyperlink">
    <w:name w:val="Hyperlink"/>
    <w:rPr>
      <w:color w:val="0000FF"/>
      <w:u w:val="single"/>
    </w:rPr>
  </w:style>
  <w:style w:type="character" w:styleId="FollowedHyperlink">
    <w:name w:val="FollowedHyperlink"/>
    <w:rPr>
      <w:color w:val="800080"/>
      <w:u w:val="single"/>
    </w:rPr>
  </w:style>
  <w:style w:type="character" w:styleId="PageNumber">
    <w:name w:val="page number"/>
    <w:basedOn w:val="Style14"/>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Style15">
    <w:name w:val="국문 제목"/>
    <w:basedOn w:val="Normal"/>
    <w:qFormat/>
    <w:pPr>
      <w:spacing w:lineRule="auto" w:line="264" w:before="120" w:after="0"/>
      <w:ind w:hanging="0" w:start="851" w:end="851"/>
      <w:jc w:val="center"/>
    </w:pPr>
    <w:rPr>
      <w:rFonts w:ascii="NanumGothic" w:hAnsi="NanumGothic" w:eastAsia="NanumGothic"/>
      <w:b/>
      <w:sz w:val="40"/>
    </w:rPr>
  </w:style>
  <w:style w:type="paragraph" w:styleId="Style16">
    <w:name w:val="국문 저자명"/>
    <w:basedOn w:val="Normal"/>
    <w:qFormat/>
    <w:pPr>
      <w:ind w:hanging="0" w:start="851" w:end="851"/>
      <w:jc w:val="center"/>
    </w:pPr>
    <w:rPr>
      <w:rFonts w:ascii="NanumGothic" w:hAnsi="NanumGothic" w:eastAsia="NanumGothic"/>
      <w:sz w:val="24"/>
    </w:rPr>
  </w:style>
  <w:style w:type="paragraph" w:styleId="Style17">
    <w:name w:val="영문 제목"/>
    <w:basedOn w:val="Normal"/>
    <w:qFormat/>
    <w:pPr>
      <w:spacing w:lineRule="auto" w:line="264" w:before="120" w:after="0"/>
      <w:ind w:hanging="0" w:start="851" w:end="851"/>
      <w:jc w:val="center"/>
    </w:pPr>
    <w:rPr>
      <w:rFonts w:ascii="NanumGothic" w:hAnsi="NanumGothic" w:eastAsia="NanumGothic"/>
      <w:b/>
      <w:sz w:val="36"/>
    </w:rPr>
  </w:style>
  <w:style w:type="paragraph" w:styleId="Style18">
    <w:name w:val="영문 저자명"/>
    <w:basedOn w:val="Normal"/>
    <w:qFormat/>
    <w:pPr>
      <w:ind w:hanging="0" w:start="851" w:end="851"/>
      <w:jc w:val="center"/>
    </w:pPr>
    <w:rPr>
      <w:rFonts w:ascii="NanumGothic" w:hAnsi="NanumGothic" w:eastAsia="NanumGothic"/>
      <w:sz w:val="24"/>
    </w:rPr>
  </w:style>
  <w:style w:type="paragraph" w:styleId="Style19">
    <w:name w:val="요약"/>
    <w:basedOn w:val="Normal"/>
    <w:qFormat/>
    <w:pPr>
      <w:spacing w:lineRule="auto" w:line="264"/>
      <w:ind w:hanging="0" w:start="851" w:end="851"/>
    </w:pPr>
    <w:rPr>
      <w:rFonts w:ascii="AppleMyungjo" w:hAnsi="AppleMyungjo" w:eastAsia="AppleMyungjo"/>
      <w:sz w:val="18"/>
    </w:rPr>
  </w:style>
  <w:style w:type="paragraph" w:styleId="Style20">
    <w:name w:val="논문 내용"/>
    <w:basedOn w:val="Normal"/>
    <w:qFormat/>
    <w:pPr>
      <w:ind w:firstLine="227" w:start="0" w:end="0"/>
    </w:pPr>
    <w:rPr>
      <w:rFonts w:ascii="AppleMyungjo" w:hAnsi="AppleMyungjo" w:eastAsia="AppleMyungjo"/>
    </w:rPr>
  </w:style>
  <w:style w:type="paragraph" w:styleId="Style21">
    <w:name w:val="캡션"/>
    <w:basedOn w:val="Normal"/>
    <w:next w:val="Normal"/>
    <w:qFormat/>
    <w:pPr>
      <w:spacing w:before="120" w:after="240"/>
    </w:pPr>
    <w:rPr>
      <w:rFonts w:ascii="AppleMyungjo" w:hAnsi="AppleMyungjo" w:eastAsia="AppleMyungjo"/>
      <w:b/>
    </w:rPr>
  </w:style>
  <w:style w:type="paragraph" w:styleId="HeaderandFooter">
    <w:name w:val="Header and Footer"/>
    <w:basedOn w:val="Normal"/>
    <w:qFormat/>
    <w:pPr>
      <w:suppressLineNumbers/>
      <w:tabs>
        <w:tab w:val="clear" w:pos="851"/>
        <w:tab w:val="center" w:pos="4819" w:leader="none"/>
        <w:tab w:val="right" w:pos="9638" w:leader="none"/>
      </w:tabs>
    </w:pPr>
    <w:rPr/>
  </w:style>
  <w:style w:type="paragraph" w:styleId="Header">
    <w:name w:val="header"/>
    <w:basedOn w:val="Normal"/>
    <w:pPr>
      <w:tabs>
        <w:tab w:val="clear" w:pos="851"/>
        <w:tab w:val="center" w:pos="4252" w:leader="none"/>
        <w:tab w:val="right" w:pos="8504" w:leader="none"/>
      </w:tabs>
      <w:snapToGrid w:val="false"/>
    </w:pPr>
    <w:rPr/>
  </w:style>
  <w:style w:type="paragraph" w:styleId="Style22">
    <w:name w:val="논문 내용 제목"/>
    <w:basedOn w:val="Style20"/>
    <w:next w:val="Style20"/>
    <w:qFormat/>
    <w:pPr>
      <w:numPr>
        <w:ilvl w:val="0"/>
        <w:numId w:val="1"/>
      </w:numPr>
      <w:tabs>
        <w:tab w:val="clear" w:pos="851"/>
        <w:tab w:val="left" w:pos="284" w:leader="none"/>
      </w:tabs>
      <w:spacing w:lineRule="auto" w:line="360"/>
      <w:ind w:hanging="227" w:start="227" w:end="0"/>
    </w:pPr>
    <w:rPr>
      <w:rFonts w:eastAsia="NanumGothic" w:ascii="NanumGothic" w:hAnsi="NanumGothic"/>
      <w:b/>
    </w:rPr>
  </w:style>
  <w:style w:type="paragraph" w:styleId="Style23">
    <w:name w:val="참고문헌"/>
    <w:basedOn w:val="Style20"/>
    <w:qFormat/>
    <w:pPr>
      <w:ind w:hanging="0" w:start="0" w:end="0"/>
    </w:pPr>
    <w:rPr>
      <w:rFonts w:ascii="AppleMyungjo" w:hAnsi="AppleMyungjo" w:eastAsia="AppleMyungjo"/>
    </w:rPr>
  </w:style>
  <w:style w:type="paragraph" w:styleId="Footer">
    <w:name w:val="footer"/>
    <w:basedOn w:val="Normal"/>
    <w:pPr>
      <w:tabs>
        <w:tab w:val="clear" w:pos="851"/>
        <w:tab w:val="center" w:pos="4252" w:leader="none"/>
        <w:tab w:val="right" w:pos="8504" w:leader="none"/>
      </w:tabs>
      <w:snapToGrid w:val="false"/>
    </w:pPr>
    <w:rPr/>
  </w:style>
  <w:style w:type="paragraph" w:styleId="Style24">
    <w:name w:val="일반 (웹)"/>
    <w:basedOn w:val="Normal"/>
    <w:qFormat/>
    <w:pPr>
      <w:widowControl/>
      <w:spacing w:before="100" w:after="100"/>
      <w:jc w:val="start"/>
    </w:pPr>
    <w:rPr>
      <w:rFonts w:ascii="바탕;Batang" w:hAnsi="바탕;Batang" w:eastAsia="바탕;Batang" w:cs="바탕;Batang"/>
      <w:kern w:val="0"/>
      <w:sz w:val="24"/>
      <w:szCs w:val="24"/>
    </w:rPr>
  </w:style>
  <w:style w:type="paragraph" w:styleId="Style25">
    <w:name w:val="바탕글"/>
    <w:basedOn w:val="Normal"/>
    <w:qFormat/>
    <w:pPr>
      <w:shd w:fill="FFFFFF" w:val="clear"/>
      <w:autoSpaceDE w:val="false"/>
      <w:snapToGrid w:val="false"/>
      <w:spacing w:lineRule="auto" w:line="384"/>
      <w:textAlignment w:val="baseline"/>
    </w:pPr>
    <w:rPr>
      <w:rFonts w:ascii="굴림;Gulim" w:hAnsi="굴림;Gulim" w:eastAsia="굴림;Gulim" w:cs="굴림;Gulim"/>
      <w:color w:val="000000"/>
      <w:kern w:val="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image" Target="media/image1.png"/><Relationship Id="rId5" Type="http://schemas.openxmlformats.org/officeDocument/2006/relationships/image" Target="media/image2.png"/><Relationship Id="rId11"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10</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2026-07-16T12:09:00Z</dcterms:created>
  <dc:creator>김태훈 (Taehoon Kim)</dc:creator>
  <dc:description/>
  <cp:keywords>3GPP, LLM, normative language, semantic preservation, evidence constraint</cp:keywords>
  <dc:language>ko-KR</dc:language>
  <cp:lastModifiedBy>YSNotebook</cp:lastModifiedBy>
  <cp:lastPrinted>1999-08-15T23:43:00Z</cp:lastPrinted>
  <dcterms:modified xsi:type="dcterms:W3CDTF">2026-07-21T11:13:00Z</dcterms:modified>
  <cp:revision>5</cp:revision>
  <dc:subject>3GPP normative meaning preservation in Korean LLM explanations</dc:subject>
  <dc:title>3GPP 요구사항의 한국어 설명에서 규범적 의미 보존을 위한 증거 제약 생성 평가</dc:title>
</cp:coreProperties>
</file>