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206" w:type="dxa"/>
        <w:jc w:val="start"/>
        <w:tblInd w:w="99" w:type="dxa"/>
        <w:tblLayout w:type="fixed"/>
        <w:tblCellMar>
          <w:top w:w="0" w:type="dxa"/>
          <w:start w:w="99" w:type="dxa"/>
          <w:bottom w:w="0" w:type="dxa"/>
          <w:end w:w="99" w:type="dxa"/>
        </w:tblCellMar>
      </w:tblPr>
      <w:tblGrid>
        <w:gridCol w:w="10206"/>
      </w:tblGrid>
      <w:tr>
        <w:trPr>
          <w:trHeight w:val="542" w:hRule="atLeast"/>
          <w:tblHeader/>
        </w:trPr>
        <w:tc>
          <w:tcPr>
            <w:tcW w:w="10206" w:type="dxa"/>
            <w:tcBorders/>
          </w:tcPr>
          <w:p>
            <w:pPr>
              <w:pStyle w:val="Style15"/>
              <w:spacing w:before="120" w:after="0"/>
              <w:jc w:val="center"/>
              <w:rPr>
                <w:sz w:val="32"/>
                <w:szCs w:val="32"/>
              </w:rPr>
            </w:pPr>
            <w:r>
              <w:rPr>
                <w:b/>
                <w:sz w:val="40"/>
              </w:rPr>
              <w:t>SPICE 피드백 기반 LLM 에이전트의 RF 회로 고장 진단 및 복구</w:t>
            </w:r>
          </w:p>
        </w:tc>
      </w:tr>
      <w:tr>
        <w:trPr>
          <w:trHeight w:val="230" w:hRule="atLeast"/>
        </w:trPr>
        <w:tc>
          <w:tcPr>
            <w:tcW w:w="10206" w:type="dxa"/>
            <w:tcBorders/>
          </w:tcPr>
          <w:p>
            <w:pPr>
              <w:pStyle w:val="Normal"/>
              <w:snapToGrid w:val="false"/>
              <w:rPr>
                <w:sz w:val="24"/>
                <w:szCs w:val="32"/>
              </w:rPr>
            </w:pPr>
            <w:r>
              <w:rPr>
                <w:sz w:val="24"/>
                <w:szCs w:val="32"/>
              </w:rPr>
            </w:r>
          </w:p>
        </w:tc>
      </w:tr>
      <w:tr>
        <w:trPr/>
        <w:tc>
          <w:tcPr>
            <w:tcW w:w="10206" w:type="dxa"/>
            <w:tcBorders/>
          </w:tcPr>
          <w:p>
            <w:pPr>
              <w:pStyle w:val="Style16"/>
              <w:jc w:val="center"/>
              <w:rPr>
                <w:sz w:val="20"/>
              </w:rPr>
            </w:pPr>
            <w:r>
              <w:rPr>
                <w:b w:val="0"/>
                <w:sz w:val="24"/>
              </w:rPr>
              <w:t>김태훈¹</w:t>
            </w:r>
          </w:p>
          <w:p>
            <w:pPr>
              <w:pStyle w:val="Style16"/>
              <w:jc w:val="center"/>
            </w:pPr>
            <w:r>
              <w:rPr>
                <w:b w:val="0"/>
                <w:sz w:val="22"/>
              </w:rPr>
              <w:t>¹제주대학교 통신공학과 학부생</w:t>
            </w:r>
          </w:p>
          <w:p>
            <w:pPr>
              <w:pStyle w:val="Style16"/>
              <w:jc w:val="center"/>
            </w:pPr>
            <w:r>
              <w:rPr>
                <w:b w:val="0"/>
                <w:sz w:val="18"/>
              </w:rPr>
              <w:t>xogns.k98@gmail.com</w:t>
            </w:r>
          </w:p>
        </w:tc>
      </w:tr>
      <w:tr>
        <w:trPr>
          <w:trHeight w:val="296" w:hRule="atLeast"/>
        </w:trPr>
        <w:tc>
          <w:tcPr>
            <w:tcW w:w="10206" w:type="dxa"/>
            <w:tcBorders/>
          </w:tcPr>
          <w:p>
            <w:pPr>
              <w:pStyle w:val="Style25"/>
              <w:snapToGrid w:val="false"/>
              <w:spacing w:lineRule="auto" w:line="312"/>
              <w:jc w:val="center"/>
              <w:rPr>
                <w:sz w:val="22"/>
                <w:szCs w:val="22"/>
              </w:rPr>
            </w:pPr>
            <w:r>
              <w:rPr>
                <w:sz w:val="22"/>
                <w:szCs w:val="22"/>
              </w:rPr>
            </w:r>
          </w:p>
        </w:tc>
      </w:tr>
      <w:tr>
        <w:trPr/>
        <w:tc>
          <w:tcPr>
            <w:tcW w:w="10206" w:type="dxa"/>
            <w:tcBorders/>
          </w:tcPr>
          <w:p>
            <w:pPr>
              <w:pStyle w:val="Style17"/>
              <w:spacing w:before="120" w:after="0"/>
              <w:jc w:val="center"/>
              <w:rPr>
                <w:sz w:val="32"/>
                <w:szCs w:val="32"/>
              </w:rPr>
            </w:pPr>
            <w:r>
              <w:rPr>
                <w:b/>
                <w:sz w:val="36"/>
              </w:rPr>
              <w:t>SPICE-Grounded LLM Agent for RF Circuit Fault Diagnosis and Repair</w:t>
            </w:r>
          </w:p>
        </w:tc>
      </w:tr>
      <w:tr>
        <w:trPr>
          <w:trHeight w:val="338" w:hRule="atLeast"/>
        </w:trPr>
        <w:tc>
          <w:tcPr>
            <w:tcW w:w="10206" w:type="dxa"/>
            <w:tcBorders/>
          </w:tcPr>
          <w:p>
            <w:pPr>
              <w:pStyle w:val="Normal"/>
              <w:snapToGrid w:val="false"/>
              <w:rPr>
                <w:sz w:val="32"/>
                <w:szCs w:val="32"/>
              </w:rPr>
            </w:pPr>
            <w:r>
              <w:rPr>
                <w:sz w:val="32"/>
                <w:szCs w:val="32"/>
              </w:rPr>
            </w:r>
          </w:p>
        </w:tc>
      </w:tr>
      <w:tr>
        <w:trPr/>
        <w:tc>
          <w:tcPr>
            <w:tcW w:w="10206" w:type="dxa"/>
            <w:tcBorders/>
          </w:tcPr>
          <w:p>
            <w:pPr>
              <w:pStyle w:val="Style18"/>
              <w:jc w:val="center"/>
              <w:rPr>
                <w:sz w:val="20"/>
              </w:rPr>
            </w:pPr>
            <w:r>
              <w:rPr>
                <w:b w:val="0"/>
                <w:sz w:val="24"/>
              </w:rPr>
              <w:t>Taehoon Kim¹</w:t>
            </w:r>
          </w:p>
          <w:p>
            <w:pPr>
              <w:pStyle w:val="Style18"/>
              <w:jc w:val="center"/>
            </w:pPr>
            <w:r>
              <w:rPr>
                <w:b w:val="0"/>
                <w:sz w:val="21"/>
              </w:rPr>
              <w:t>¹Department of Telecommunications Engineering, Jeju National University</w:t>
            </w:r>
          </w:p>
        </w:tc>
      </w:tr>
      <w:tr>
        <w:trPr>
          <w:trHeight w:val="298" w:hRule="atLeast"/>
        </w:trPr>
        <w:tc>
          <w:tcPr>
            <w:tcW w:w="10206" w:type="dxa"/>
            <w:tcBorders/>
          </w:tcPr>
          <w:p>
            <w:pPr>
              <w:pStyle w:val="Normal"/>
              <w:snapToGrid w:val="false"/>
              <w:rPr/>
            </w:pPr>
            <w:r>
              <w:rPr/>
            </w:r>
          </w:p>
        </w:tc>
      </w:tr>
      <w:tr>
        <w:trPr/>
        <w:tc>
          <w:tcPr>
            <w:tcW w:w="10206" w:type="dxa"/>
            <w:tcBorders/>
          </w:tcPr>
          <w:p>
            <w:pPr>
              <w:pStyle w:val="Style19"/>
              <w:spacing w:lineRule="auto" w:line="360"/>
              <w:rPr>
                <w:b/>
                <w:sz w:val="20"/>
              </w:rPr>
              <w:jc w:val="center"/>
            </w:pPr>
            <w:r>
              <w:rPr>
                <w:b w:val="true"/>
                <w:sz w:val="20"/>
              </w:rPr>
              <w:t>요       약</w:t>
            </w:r>
          </w:p>
          <w:p>
            <w:pPr>
              <w:pStyle w:val="Style19"/>
            </w:pPr>
            <w:r>
              <w:rPr>
                <w:b w:val="0"/>
                <w:sz w:val="18"/>
              </w:rPr>
              <w:t xml:space="preserve">본 연구는 기존 RF 회로에 고장이 발생했을 때 대규모 언어 모델(LLM) 에이전트가 원인을 진단하고 수정안을 제안하며, 독립적인 SPICE 시뮬레이터와 규칙 기반 검증기가 복구 성공을 판정하는 폐루프 방법을 제안한다. 100 MHz 3차 Butterworth 대역통과 필터에 부품값, open, short 및 포트 임피던스 고장을 자동 삽입했다. 실행 전 절차를 고정한 48회 주 실험에서 최종 복구율 95.8%, 위치 진단 93.8%, 전체 진단 77.1%를 기록했다. 미사용 구조 고장 확인군(holdout)에서 개선 인터페이스는 엄격 조건 대비 전체 진단을 9/18에서 18/18로, SPICE 검증 복구를 14/18에서 17/18로 높였다. 새 설계 4개의 12개 값 고장을 조건별 3회 반복한 동일 최대 3회 호출 비교에서는 무피드백 33/36, 피드백 31/36으로 피드백의 복구율 향상을 확인하지 못했다. 별도 손실 모델 확장에서는 수치 역추정과 보류 기준을 평가했다. 미사용 4설계의 주입 변화 2,304건에서 진단 정답은 487건에서 615건으로 늘고 1,689건은 보류되었으며 관찰 오진은 0건이었다. 결과는 합성 회로에 한정되며 실제 하드웨어 성능이나 무오진을 보장하지 않는다.</w:t>
            </w:r>
          </w:p>
          <w:p>
            <w:pPr>
              <w:pStyle w:val="Style19"/>
            </w:pPr>
            <w:r>
              <w:rPr>
                <w:b w:val="0"/>
                <w:sz w:val="17"/>
              </w:rPr>
              <w:t>키워드: LLM 에이전트, SPICE, RF 회로, 고장 진단, 시뮬레이션 기반 검증</w:t>
            </w:r>
          </w:p>
        </w:tc>
      </w:tr>
      <w:tr>
        <w:trPr>
          <w:trHeight w:val="327" w:hRule="atLeast"/>
        </w:trPr>
        <w:tc>
          <w:tcPr>
            <w:tcW w:w="10206" w:type="dxa"/>
            <w:tcBorders/>
          </w:tcPr>
          <w:p>
            <w:pPr>
              <w:pStyle w:val="Style23"/>
              <w:snapToGrid w:val="false"/>
              <w:rPr>
                <w:b/>
              </w:rPr>
            </w:pPr>
            <w:r>
              <w:rPr>
                <w:b/>
              </w:rPr>
            </w:r>
          </w:p>
        </w:tc>
      </w:tr>
    </w:tbl>
    <w:p>
      <w:pPr>
        <w:sectPr>
          <w:headerReference w:type="default" r:id="rId2"/>
          <w:footerReference w:type="default" r:id="rId3"/>
          <w:type w:val="nextPage"/>
          <w:pgSz w:w="11906" w:h="16838"/>
          <w:pgMar w:left="851" w:right="851" w:gutter="0" w:header="567" w:top="1701" w:footer="567" w:bottom="964"/>
          <w:pgNumType w:fmt="decimal"/>
          <w:formProt w:val="false"/>
          <w:textDirection w:val="lrTb"/>
          <w:docGrid w:type="default" w:linePitch="272" w:charSpace="0"/>
        </w:sectPr>
      </w:pPr>
    </w:p>
    <w:p>
      <w:pPr>
        <w:pStyle w:val="Style22"/>
        <w:keepNext/>
      </w:pPr>
      <w:r>
        <w:rPr/>
        <w:t>서론</w:t>
      </w:r>
    </w:p>
    <w:p>
      <w:pPr>
        <w:pStyle w:val="Style20"/>
        <w:spacing w:line="276" w:lineRule="auto" w:after="0"/>
      </w:pPr>
      <w:r>
        <w:rPr/>
        <w:t>최근 LLM을 활용한 회로 자동화 연구는 SPICE 코드 생성[1], RF 필터의 topology 선택과 파라미터 최적화[2], RF 증폭기 sizing[3]으로 확장되고 있다. SPICED+는 아날로그·혼합신호 회로의 트로이목마를 탐지·교정하는 반복 절차를 제시했다[4]. 본 연구는 보안 위협 제거가 아니라 RF 성능 고장을 자동 삽입하고, 원인 진단과 specification 회복을 분리 평가하는 시뮬레이터 기반 benchmark를 다룬다. 또한 NetlistBench의 구조 기반 결정적 평가[5]와 같이, LLM의 자체 판단이 아닌 외부 검증을 성공 기준으로 삼는다.</w:t>
      </w:r>
    </w:p>
    <w:p>
      <w:pPr>
        <w:pStyle w:val="Style20"/>
        <w:spacing w:line="276" w:lineRule="auto" w:after="0"/>
      </w:pPr>
      <w:r>
        <w:rPr/>
        <w:t>LLM의 자연언어 판단은 비결정적이며 실제 회로 성능을 보장하지 않는다. 본 연구는 LLM에게 최종 성공 판정을 맡기지 않고, ngspice 출력과 코드 기반 검증기만 성공을 선언하도록 구성한다. 또한 진단 정확도와 회로 성능 복구를 분리해, 원인을 잘못 지목하고도 다른 부품을 조정해 성능을 회복하는 보상 수정을 구분한다.</w:t>
      </w:r>
    </w:p>
    <w:p>
      <w:pPr>
        <w:pStyle w:val="Style22"/>
        <w:keepNext/>
      </w:pPr>
      <w:r>
        <w:rPr/>
        <w:t>제안 방법</w:t>
      </w:r>
    </w:p>
    <w:p>
      <w:pPr>
        <w:pStyle w:val="Style20"/>
        <w:spacing w:line="276" w:lineRule="auto" w:after="0"/>
      </w:pPr>
      <w:r>
        <w:rPr/>
        <w:t>그림 1은 제안 파이프라인을 보인다. evaluator가 정상 netlist에 단일 고장을 삽입하고 최초 S-parameter를 계산한다. Agent는 고장 netlist, 목표 specification, 측정값만 받아 의심 부품과 고장 유형, 하나의 수정을 JSON schema로 제안한다. 정상 netlist와 고장 정답은 Agent에게 공개하지 않는다.</w:t>
      </w:r>
    </w:p>
    <w:p>
      <w:pPr>
        <w:spacing w:after="0"/>
        <w:jc w:val="center"/>
      </w:pPr>
      <w:r>
        <w:rPr/>
        <w:drawing>
          <wp:inline xmlns:a="http://schemas.openxmlformats.org/drawingml/2006/main">
            <wp:extent cx="2907792" cy="756026"/>
            <wp:docPr id="1" name="Picture 1" descr="고장 회로에서 LLM 진단, 제한된 수정, ngspice 시뮬레이션과 검증기를 거치는 폐루프 복구 흐름"/>
            <wp:cNvGraphicFramePr>
              <a:graphicFrameLocks noChangeAspect="1"/>
            </wp:cNvGraphicFramePr>
            <a:graphic>
              <a:graphicData uri="http://schemas.openxmlformats.org/drawingml/2006/picture">
                <pic:pic>
                  <pic:nvPicPr>
                    <pic:cNvPr id="0" name="closed_loop_pipeline.png"/>
                    <pic:cNvPicPr/>
                  </pic:nvPicPr>
                  <pic:blipFill>
                    <a:blip r:embed="rId10"/>
                    <a:stretch>
                      <a:fillRect/>
                    </a:stretch>
                  </pic:blipFill>
                  <pic:spPr>
                    <a:xfrm>
                      <a:off x="0" y="0"/>
                      <a:ext cx="2907792" cy="756026"/>
                    </a:xfrm>
                    <a:prstGeom prst="rect"/>
                  </pic:spPr>
                </pic:pic>
              </a:graphicData>
            </a:graphic>
          </wp:inline>
        </w:drawing>
      </w:r>
    </w:p>
    <w:p>
      <w:pPr>
        <w:pStyle w:val="Style21"/>
        <w:spacing w:before="20" w:after="40"/>
        <w:jc w:val="center"/>
      </w:pPr>
      <w:r>
        <w:rPr>
          <w:b w:val="0"/>
          <w:sz w:val="18"/>
        </w:rPr>
        <w:t>(그림 1) SPICE-grounded closed-loop repair</w:t>
      </w:r>
    </w:p>
    <w:p>
      <w:pPr>
        <w:pStyle w:val="Style20"/>
        <w:spacing w:line="276" w:lineRule="auto" w:after="0"/>
      </w:pPr>
      <w:r>
        <w:rPr/>
        <w:t>실행기는 set_value, restore_component, set_port_impedance만 허용하며 임의 netlist 재작성을 금지한다. 수정본을 재시뮬레이션한 후 중심주파수, S21, S11, 통과대역 및 저지대역 제약을 모두 만족할 때만 복구 성공으로 판정한다. 실패 근거는 다음 반복에 제공하며 최대 3회까지 수정한다.</w:t>
      </w:r>
    </w:p>
    <w:p>
      <w:pPr>
        <w:pStyle w:val="Style22"/>
        <w:keepNext/>
      </w:pPr>
      <w:r>
        <w:rPr/>
        <w:t>실험 설정</w:t>
      </w:r>
    </w:p>
    <w:p>
      <w:pPr>
        <w:pStyle w:val="Style20"/>
        <w:spacing w:line="276" w:lineRule="auto" w:after="0"/>
      </w:pPr>
      <w:r>
        <w:rPr/>
        <w:t>실험 회로는 50 Ω 포트를 갖는 이상적 집중소자 100 MHz 3차 Butterworth 대역통과 필터이다. 값 고장 10종과 open·short·임피던스 고장 6종을 사용했고 각 사례를 3회 실행했다. 별도 확인 실험에는 개발 중 사용하지 않은 구조 고장 6종을 같은 방식으로 3회씩 실행했다. LLM은 gpt-5.6-luna, reasoning effort low로 고정했으며 API 자동 재시도를 끄고 모든 실패를 분모에 포함했다. 평가 지표는 부품 위치 진단, 위치와 유형을 모두 맞힌 전체 진단, specification 복구이다.</w:t>
      </w:r>
    </w:p>
    <w:p>
      <w:pPr>
        <w:pStyle w:val="Style20"/>
        <w:spacing w:line="276" w:lineRule="auto" w:after="0"/>
      </w:pPr>
      <w:r>
        <w:rPr/>
        <w:t>복구 제약은 중심주파수 오차 2% 이하, 100 MHz에서 S21 ≥ −0.25 dB 및 S11 ≤ −20 dB, 95·105 MHz에서 S21 ≥ −3.5 dB, 70·140 MHz에서 S21 ≤ −15 dB이다. 50~200 MHz를 1501점으로 계산했다. open과 short는 각각 1 TΩ 및 1 mΩ 저항 치환이며, 포트 고장은 z0 변경으로 정의한다.</w:t>
      </w:r>
    </w:p>
    <w:p>
      <w:pPr>
        <w:pStyle w:val="Style20"/>
        <w:spacing w:line="276" w:lineRule="auto" w:after="0"/>
      </w:pPr>
      <w:r>
        <w:rPr/>
        <w:t>비교 조건은 netlist만 사용한 one-shot LLM, 최초 SPICE 측정값을 추가한 one-shot LLM, 반복 SPICE feedback Agent, 그리고 고장 비율에 맞춘 deterministic grid이다. 주 결과는 실행 전에 고정한 엄격 조건(strict)으로 집계했다. 결과 후 추가한 단위 표기 변환과 고장 label 설명은 요인 분리 실험으로 평가하고, 개발에 쓰지 않은 holdout에서 strict와 결합 인터페이스를 다시 비교했다.</w:t>
      </w:r>
    </w:p>
    <w:p>
      <w:pPr>
        <w:pStyle w:val="Style20"/>
        <w:spacing w:line="276" w:lineRule="auto" w:after="0"/>
      </w:pPr>
      <w:r>
        <w:rPr/>
        <w:t xml:space="preserve">추가 비교에서는 중심주파수 83·117·149·173 MHz와 대역폭 비율 10·12·14·16%의 새 설계에서 값 고장 12개를 만들고 부품·노드 이름과 행 순서를 바꿨다. 두 조건은 최초 입력, 모델, 스키마, 출력 상한 2000토큰, 최대 3회 호출을 공유한다. 무피드백은 매번 최초 입력만 받고 피드백은 이전 실패 제안과 측정 결과를 받는다. 정상 PASS·고장 FAIL·정답 수정 PASS를 사전 확인한 뒤 3회씩 반복했다. 새 통과대역 경계의 S21 기준은 −4 dB로 별도 고정했으며, 성공 시 조기 종료하고 응답 미완료도 실패 분모에 포함했다. 각 후보는 초기 고장 회로에 독립적으로 적용하며 이전 수정에 누적하지 않는다.</w:t>
      </w:r>
    </w:p>
    <w:p>
      <w:pPr>
        <w:pStyle w:val="Style22"/>
        <w:keepNext/>
      </w:pPr>
      <w:r>
        <w:rPr/>
        <w:t>실험 결과</w:t>
      </w:r>
    </w:p>
    <w:p>
      <w:pPr>
        <w:pStyle w:val="Style21"/>
        <w:spacing w:before="20" w:after="40"/>
        <w:jc w:val="center"/>
      </w:pPr>
      <w:r>
        <w:rPr>
          <w:b w:val="0"/>
          <w:sz w:val="18"/>
        </w:rPr>
        <w:t>&lt;표 1&gt; 값 고장의 LLM 조건 비교</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1900"/>
        <w:gridCol w:w="950"/>
        <w:gridCol w:w="950"/>
        <w:gridCol w:w="1000"/>
      </w:tblGrid>
      <w:tr>
        <w:tc>
          <w:tcPr>
            <w:tcW w:type="dxa" w:w="1900"/>
            <w:vAlign w:val="center"/>
            <w:tcMar>
              <w:top w:w="55" w:type="dxa"/>
              <w:left w:w="55" w:type="dxa"/>
              <w:bottom w:w="55" w:type="dxa"/>
              <w:right w:w="55" w:type="dxa"/>
            </w:tcMar>
            <w:shd w:fill="D9E2F3"/>
          </w:tcPr>
          <w:p>
            <w:pPr>
              <w:spacing w:before="0" w:after="0" w:line="240" w:lineRule="auto"/>
              <w:jc w:val="center"/>
            </w:pPr>
            <w:r>
              <w:rPr>
                <w:b/>
                <w:sz w:val="15"/>
              </w:rPr>
              <w:t>구분</w:t>
            </w:r>
          </w:p>
        </w:tc>
        <w:tc>
          <w:tcPr>
            <w:tcW w:type="dxa" w:w="950"/>
            <w:vAlign w:val="center"/>
            <w:tcMar>
              <w:top w:w="55" w:type="dxa"/>
              <w:left w:w="55" w:type="dxa"/>
              <w:bottom w:w="55" w:type="dxa"/>
              <w:right w:w="55" w:type="dxa"/>
            </w:tcMar>
            <w:shd w:fill="D9E2F3"/>
          </w:tcPr>
          <w:p>
            <w:pPr>
              <w:spacing w:before="0" w:after="0" w:line="240" w:lineRule="auto"/>
              <w:jc w:val="center"/>
            </w:pPr>
            <w:r>
              <w:rPr>
                <w:b/>
                <w:sz w:val="15"/>
              </w:rPr>
              <w:t>복구</w:t>
            </w:r>
          </w:p>
        </w:tc>
        <w:tc>
          <w:tcPr>
            <w:tcW w:type="dxa" w:w="950"/>
            <w:vAlign w:val="center"/>
            <w:tcMar>
              <w:top w:w="55" w:type="dxa"/>
              <w:left w:w="55" w:type="dxa"/>
              <w:bottom w:w="55" w:type="dxa"/>
              <w:right w:w="55" w:type="dxa"/>
            </w:tcMar>
            <w:shd w:fill="D9E2F3"/>
          </w:tcPr>
          <w:p>
            <w:pPr>
              <w:spacing w:before="0" w:after="0" w:line="240" w:lineRule="auto"/>
              <w:jc w:val="center"/>
            </w:pPr>
            <w:r>
              <w:rPr>
                <w:b/>
                <w:sz w:val="15"/>
              </w:rPr>
              <w:t>위치</w:t>
            </w:r>
          </w:p>
        </w:tc>
        <w:tc>
          <w:tcPr>
            <w:tcW w:type="dxa" w:w="1000"/>
            <w:vAlign w:val="center"/>
            <w:tcMar>
              <w:top w:w="55" w:type="dxa"/>
              <w:left w:w="55" w:type="dxa"/>
              <w:bottom w:w="55" w:type="dxa"/>
              <w:right w:w="55" w:type="dxa"/>
            </w:tcMar>
            <w:shd w:fill="D9E2F3"/>
          </w:tcPr>
          <w:p>
            <w:pPr>
              <w:spacing w:before="0" w:after="0" w:line="240" w:lineRule="auto"/>
              <w:jc w:val="center"/>
            </w:pPr>
            <w:r>
              <w:rPr>
                <w:b/>
                <w:sz w:val="15"/>
              </w:rPr>
              <w:t>전체진단</w:t>
            </w:r>
          </w:p>
        </w:tc>
        <w:trPr>
          <w:tblHeader/>
        </w:trPr>
      </w:tr>
      <w:tr>
        <w:tc>
          <w:tcPr>
            <w:tcW w:type="dxa" w:w="1900"/>
            <w:vAlign w:val="center"/>
            <w:tcMar>
              <w:top w:w="55" w:type="dxa"/>
              <w:left w:w="55" w:type="dxa"/>
              <w:bottom w:w="55" w:type="dxa"/>
              <w:right w:w="55" w:type="dxa"/>
            </w:tcMar>
          </w:tcPr>
          <w:p>
            <w:pPr>
              <w:spacing w:before="0" w:after="0" w:line="240" w:lineRule="auto"/>
              <w:jc w:val="left"/>
            </w:pPr>
            <w:r>
              <w:rPr>
                <w:b w:val="0"/>
                <w:sz w:val="15"/>
              </w:rPr>
              <w:t>Netlist one-shot</w:t>
            </w:r>
          </w:p>
        </w:tc>
        <w:tc>
          <w:tcPr>
            <w:tcW w:type="dxa" w:w="950"/>
            <w:vAlign w:val="center"/>
            <w:tcMar>
              <w:top w:w="55" w:type="dxa"/>
              <w:left w:w="55" w:type="dxa"/>
              <w:bottom w:w="55" w:type="dxa"/>
              <w:right w:w="55" w:type="dxa"/>
            </w:tcMar>
          </w:tcPr>
          <w:p>
            <w:pPr>
              <w:spacing w:before="0" w:after="0" w:line="240" w:lineRule="auto"/>
              <w:jc w:val="center"/>
            </w:pPr>
            <w:r>
              <w:rPr>
                <w:b w:val="0"/>
                <w:sz w:val="15"/>
              </w:rPr>
              <w:t>27/30</w:t>
            </w:r>
          </w:p>
        </w:tc>
        <w:tc>
          <w:tcPr>
            <w:tcW w:type="dxa" w:w="950"/>
            <w:vAlign w:val="center"/>
            <w:tcMar>
              <w:top w:w="55" w:type="dxa"/>
              <w:left w:w="55" w:type="dxa"/>
              <w:bottom w:w="55" w:type="dxa"/>
              <w:right w:w="55" w:type="dxa"/>
            </w:tcMar>
          </w:tcPr>
          <w:p>
            <w:pPr>
              <w:spacing w:before="0" w:after="0" w:line="240" w:lineRule="auto"/>
              <w:jc w:val="center"/>
            </w:pPr>
            <w:r>
              <w:rPr>
                <w:b w:val="0"/>
                <w:sz w:val="15"/>
              </w:rPr>
              <w:t>26/30</w:t>
            </w:r>
          </w:p>
        </w:tc>
        <w:tc>
          <w:tcPr>
            <w:tcW w:type="dxa" w:w="1000"/>
            <w:vAlign w:val="center"/>
            <w:tcMar>
              <w:top w:w="55" w:type="dxa"/>
              <w:left w:w="55" w:type="dxa"/>
              <w:bottom w:w="55" w:type="dxa"/>
              <w:right w:w="55" w:type="dxa"/>
            </w:tcMar>
          </w:tcPr>
          <w:p>
            <w:pPr>
              <w:spacing w:before="0" w:after="0" w:line="240" w:lineRule="auto"/>
              <w:jc w:val="center"/>
            </w:pPr>
            <w:r>
              <w:rPr>
                <w:b w:val="0"/>
                <w:sz w:val="15"/>
              </w:rPr>
              <w:t>26/30</w:t>
            </w:r>
          </w:p>
        </w:tc>
      </w:tr>
      <w:tr>
        <w:tc>
          <w:tcPr>
            <w:tcW w:type="dxa" w:w="1900"/>
            <w:vAlign w:val="center"/>
            <w:tcMar>
              <w:top w:w="55" w:type="dxa"/>
              <w:left w:w="55" w:type="dxa"/>
              <w:bottom w:w="55" w:type="dxa"/>
              <w:right w:w="55" w:type="dxa"/>
            </w:tcMar>
          </w:tcPr>
          <w:p>
            <w:pPr>
              <w:spacing w:before="0" w:after="0" w:line="240" w:lineRule="auto"/>
              <w:jc w:val="left"/>
            </w:pPr>
            <w:r>
              <w:rPr>
                <w:b w:val="0"/>
                <w:sz w:val="15"/>
              </w:rPr>
              <w:t>+최초 SPICE</w:t>
            </w:r>
          </w:p>
        </w:tc>
        <w:tc>
          <w:tcPr>
            <w:tcW w:type="dxa" w:w="950"/>
            <w:vAlign w:val="center"/>
            <w:tcMar>
              <w:top w:w="55" w:type="dxa"/>
              <w:left w:w="55" w:type="dxa"/>
              <w:bottom w:w="55" w:type="dxa"/>
              <w:right w:w="55" w:type="dxa"/>
            </w:tcMar>
          </w:tcPr>
          <w:p>
            <w:pPr>
              <w:spacing w:before="0" w:after="0" w:line="240" w:lineRule="auto"/>
              <w:jc w:val="center"/>
            </w:pPr>
            <w:r>
              <w:rPr>
                <w:b w:val="0"/>
                <w:sz w:val="15"/>
              </w:rPr>
              <w:t>24/30</w:t>
            </w:r>
          </w:p>
        </w:tc>
        <w:tc>
          <w:tcPr>
            <w:tcW w:type="dxa" w:w="950"/>
            <w:vAlign w:val="center"/>
            <w:tcMar>
              <w:top w:w="55" w:type="dxa"/>
              <w:left w:w="55" w:type="dxa"/>
              <w:bottom w:w="55" w:type="dxa"/>
              <w:right w:w="55" w:type="dxa"/>
            </w:tcMar>
          </w:tcPr>
          <w:p>
            <w:pPr>
              <w:spacing w:before="0" w:after="0" w:line="240" w:lineRule="auto"/>
              <w:jc w:val="center"/>
            </w:pPr>
            <w:r>
              <w:rPr>
                <w:b w:val="0"/>
                <w:sz w:val="15"/>
              </w:rPr>
              <w:t>24/30</w:t>
            </w:r>
          </w:p>
        </w:tc>
        <w:tc>
          <w:tcPr>
            <w:tcW w:type="dxa" w:w="1000"/>
            <w:vAlign w:val="center"/>
            <w:tcMar>
              <w:top w:w="55" w:type="dxa"/>
              <w:left w:w="55" w:type="dxa"/>
              <w:bottom w:w="55" w:type="dxa"/>
              <w:right w:w="55" w:type="dxa"/>
            </w:tcMar>
          </w:tcPr>
          <w:p>
            <w:pPr>
              <w:spacing w:before="0" w:after="0" w:line="240" w:lineRule="auto"/>
              <w:jc w:val="center"/>
            </w:pPr>
            <w:r>
              <w:rPr>
                <w:b w:val="0"/>
                <w:sz w:val="15"/>
              </w:rPr>
              <w:t>23/30</w:t>
            </w:r>
          </w:p>
        </w:tc>
      </w:tr>
      <w:tr>
        <w:tc>
          <w:tcPr>
            <w:tcW w:type="dxa" w:w="1900"/>
            <w:vAlign w:val="center"/>
            <w:tcMar>
              <w:top w:w="55" w:type="dxa"/>
              <w:left w:w="55" w:type="dxa"/>
              <w:bottom w:w="55" w:type="dxa"/>
              <w:right w:w="55" w:type="dxa"/>
            </w:tcMar>
          </w:tcPr>
          <w:p>
            <w:pPr>
              <w:spacing w:before="0" w:after="0" w:line="240" w:lineRule="auto"/>
              <w:jc w:val="left"/>
            </w:pPr>
            <w:r>
              <w:rPr>
                <w:b w:val="0"/>
                <w:sz w:val="15"/>
              </w:rPr>
              <w:t>반복 feedback</w:t>
            </w:r>
          </w:p>
        </w:tc>
        <w:tc>
          <w:tcPr>
            <w:tcW w:type="dxa" w:w="950"/>
            <w:vAlign w:val="center"/>
            <w:tcMar>
              <w:top w:w="55" w:type="dxa"/>
              <w:left w:w="55" w:type="dxa"/>
              <w:bottom w:w="55" w:type="dxa"/>
              <w:right w:w="55" w:type="dxa"/>
            </w:tcMar>
          </w:tcPr>
          <w:p>
            <w:pPr>
              <w:spacing w:before="0" w:after="0" w:line="240" w:lineRule="auto"/>
              <w:jc w:val="center"/>
            </w:pPr>
            <w:r>
              <w:rPr>
                <w:b w:val="0"/>
                <w:sz w:val="15"/>
              </w:rPr>
              <w:t>30/30</w:t>
            </w:r>
          </w:p>
        </w:tc>
        <w:tc>
          <w:tcPr>
            <w:tcW w:type="dxa" w:w="950"/>
            <w:vAlign w:val="center"/>
            <w:tcMar>
              <w:top w:w="55" w:type="dxa"/>
              <w:left w:w="55" w:type="dxa"/>
              <w:bottom w:w="55" w:type="dxa"/>
              <w:right w:w="55" w:type="dxa"/>
            </w:tcMar>
          </w:tcPr>
          <w:p>
            <w:pPr>
              <w:spacing w:before="0" w:after="0" w:line="240" w:lineRule="auto"/>
              <w:jc w:val="center"/>
            </w:pPr>
            <w:r>
              <w:rPr>
                <w:b w:val="0"/>
                <w:sz w:val="15"/>
              </w:rPr>
              <w:t>27/30</w:t>
            </w:r>
          </w:p>
        </w:tc>
        <w:tc>
          <w:tcPr>
            <w:tcW w:type="dxa" w:w="1000"/>
            <w:vAlign w:val="center"/>
            <w:tcMar>
              <w:top w:w="55" w:type="dxa"/>
              <w:left w:w="55" w:type="dxa"/>
              <w:bottom w:w="55" w:type="dxa"/>
              <w:right w:w="55" w:type="dxa"/>
            </w:tcMar>
          </w:tcPr>
          <w:p>
            <w:pPr>
              <w:spacing w:before="0" w:after="0" w:line="240" w:lineRule="auto"/>
              <w:jc w:val="center"/>
            </w:pPr>
            <w:r>
              <w:rPr>
                <w:b w:val="0"/>
                <w:sz w:val="15"/>
              </w:rPr>
              <w:t>27/30</w:t>
            </w:r>
          </w:p>
        </w:tc>
      </w:tr>
    </w:tbl>
    <w:p>
      <w:pPr>
        <w:pStyle w:val="Style20"/>
        <w:spacing w:line="276" w:lineRule="auto" w:after="0"/>
      </w:pPr>
      <w:r>
        <w:rPr/>
        <w:t>표 1은 동일한 값 고장 10종의 3회 반복 결과다. 최초 SPICE 값을 단순 추가한 one-shot은 netlist-only보다 높지 않았지만, 반복 feedback은 첫 수정 26/30에서 최종 30/30으로 4회를 추가 복구했다. 다만 폐루프는 35회의 Agent 호출을 사용해 one-shot의 30회보다 비용이 크므로, 개선을 feedback 자체의 인과 효과로 단정하지 않는다.</w:t>
      </w:r>
    </w:p>
    <w:p>
      <w:pPr>
        <w:pStyle w:val="Style21"/>
        <w:spacing w:before="20" w:after="40"/>
        <w:jc w:val="center"/>
      </w:pPr>
      <w:r>
        <w:rPr>
          <w:b w:val="0"/>
          <w:sz w:val="18"/>
        </w:rPr>
        <w:t>&lt;표 2&gt; 고정 프로토콜 폐루프 주 결과</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1700"/>
        <w:gridCol w:w="1000"/>
        <w:gridCol w:w="1000"/>
        <w:gridCol w:w="1100"/>
      </w:tblGrid>
      <w:tr>
        <w:tc>
          <w:tcPr>
            <w:tcW w:type="dxa" w:w="1700"/>
            <w:vAlign w:val="center"/>
            <w:tcMar>
              <w:top w:w="55" w:type="dxa"/>
              <w:left w:w="55" w:type="dxa"/>
              <w:bottom w:w="55" w:type="dxa"/>
              <w:right w:w="55" w:type="dxa"/>
            </w:tcMar>
            <w:shd w:fill="D9E2F3"/>
          </w:tcPr>
          <w:p>
            <w:pPr>
              <w:spacing w:before="0" w:after="0" w:line="240" w:lineRule="auto"/>
              <w:jc w:val="center"/>
            </w:pPr>
            <w:r>
              <w:rPr>
                <w:b/>
                <w:sz w:val="15"/>
              </w:rPr>
              <w:t>구분</w:t>
            </w:r>
          </w:p>
        </w:tc>
        <w:tc>
          <w:tcPr>
            <w:tcW w:type="dxa" w:w="1000"/>
            <w:vAlign w:val="center"/>
            <w:tcMar>
              <w:top w:w="55" w:type="dxa"/>
              <w:left w:w="55" w:type="dxa"/>
              <w:bottom w:w="55" w:type="dxa"/>
              <w:right w:w="55" w:type="dxa"/>
            </w:tcMar>
            <w:shd w:fill="D9E2F3"/>
          </w:tcPr>
          <w:p>
            <w:pPr>
              <w:spacing w:before="0" w:after="0" w:line="240" w:lineRule="auto"/>
              <w:jc w:val="center"/>
            </w:pPr>
            <w:r>
              <w:rPr>
                <w:b/>
                <w:sz w:val="15"/>
              </w:rPr>
              <w:t>복구</w:t>
            </w:r>
          </w:p>
        </w:tc>
        <w:tc>
          <w:tcPr>
            <w:tcW w:type="dxa" w:w="1000"/>
            <w:vAlign w:val="center"/>
            <w:tcMar>
              <w:top w:w="55" w:type="dxa"/>
              <w:left w:w="55" w:type="dxa"/>
              <w:bottom w:w="55" w:type="dxa"/>
              <w:right w:w="55" w:type="dxa"/>
            </w:tcMar>
            <w:shd w:fill="D9E2F3"/>
          </w:tcPr>
          <w:p>
            <w:pPr>
              <w:spacing w:before="0" w:after="0" w:line="240" w:lineRule="auto"/>
              <w:jc w:val="center"/>
            </w:pPr>
            <w:r>
              <w:rPr>
                <w:b/>
                <w:sz w:val="15"/>
              </w:rPr>
              <w:t>위치</w:t>
            </w:r>
          </w:p>
        </w:tc>
        <w:tc>
          <w:tcPr>
            <w:tcW w:type="dxa" w:w="1100"/>
            <w:vAlign w:val="center"/>
            <w:tcMar>
              <w:top w:w="55" w:type="dxa"/>
              <w:left w:w="55" w:type="dxa"/>
              <w:bottom w:w="55" w:type="dxa"/>
              <w:right w:w="55" w:type="dxa"/>
            </w:tcMar>
            <w:shd w:fill="D9E2F3"/>
          </w:tcPr>
          <w:p>
            <w:pPr>
              <w:spacing w:before="0" w:after="0" w:line="240" w:lineRule="auto"/>
              <w:jc w:val="center"/>
            </w:pPr>
            <w:r>
              <w:rPr>
                <w:b/>
                <w:sz w:val="15"/>
              </w:rPr>
              <w:t>전체진단</w:t>
            </w:r>
          </w:p>
        </w:tc>
        <w:trPr>
          <w:tblHeader/>
        </w:trPr>
      </w:tr>
      <w:tr>
        <w:tc>
          <w:tcPr>
            <w:tcW w:type="dxa" w:w="1700"/>
            <w:vAlign w:val="center"/>
            <w:tcMar>
              <w:top w:w="55" w:type="dxa"/>
              <w:left w:w="55" w:type="dxa"/>
              <w:bottom w:w="55" w:type="dxa"/>
              <w:right w:w="55" w:type="dxa"/>
            </w:tcMar>
          </w:tcPr>
          <w:p>
            <w:pPr>
              <w:spacing w:before="0" w:after="0" w:line="240" w:lineRule="auto"/>
              <w:jc w:val="left"/>
            </w:pPr>
            <w:r>
              <w:rPr>
                <w:b w:val="0"/>
                <w:sz w:val="15"/>
              </w:rPr>
              <w:t>값 고장</w:t>
            </w:r>
          </w:p>
        </w:tc>
        <w:tc>
          <w:tcPr>
            <w:tcW w:type="dxa" w:w="1000"/>
            <w:vAlign w:val="center"/>
            <w:tcMar>
              <w:top w:w="55" w:type="dxa"/>
              <w:left w:w="55" w:type="dxa"/>
              <w:bottom w:w="55" w:type="dxa"/>
              <w:right w:w="55" w:type="dxa"/>
            </w:tcMar>
          </w:tcPr>
          <w:p>
            <w:pPr>
              <w:spacing w:before="0" w:after="0" w:line="240" w:lineRule="auto"/>
              <w:jc w:val="center"/>
            </w:pPr>
            <w:r>
              <w:rPr>
                <w:b w:val="0"/>
                <w:sz w:val="15"/>
              </w:rPr>
              <w:t>30/30</w:t>
            </w:r>
          </w:p>
        </w:tc>
        <w:tc>
          <w:tcPr>
            <w:tcW w:type="dxa" w:w="1000"/>
            <w:vAlign w:val="center"/>
            <w:tcMar>
              <w:top w:w="55" w:type="dxa"/>
              <w:left w:w="55" w:type="dxa"/>
              <w:bottom w:w="55" w:type="dxa"/>
              <w:right w:w="55" w:type="dxa"/>
            </w:tcMar>
          </w:tcPr>
          <w:p>
            <w:pPr>
              <w:spacing w:before="0" w:after="0" w:line="240" w:lineRule="auto"/>
              <w:jc w:val="center"/>
            </w:pPr>
            <w:r>
              <w:rPr>
                <w:b w:val="0"/>
                <w:sz w:val="15"/>
              </w:rPr>
              <w:t>27/30</w:t>
            </w:r>
          </w:p>
        </w:tc>
        <w:tc>
          <w:tcPr>
            <w:tcW w:type="dxa" w:w="1100"/>
            <w:vAlign w:val="center"/>
            <w:tcMar>
              <w:top w:w="55" w:type="dxa"/>
              <w:left w:w="55" w:type="dxa"/>
              <w:bottom w:w="55" w:type="dxa"/>
              <w:right w:w="55" w:type="dxa"/>
            </w:tcMar>
          </w:tcPr>
          <w:p>
            <w:pPr>
              <w:spacing w:before="0" w:after="0" w:line="240" w:lineRule="auto"/>
              <w:jc w:val="center"/>
            </w:pPr>
            <w:r>
              <w:rPr>
                <w:b w:val="0"/>
                <w:sz w:val="15"/>
              </w:rPr>
              <w:t>27/30</w:t>
            </w:r>
          </w:p>
        </w:tc>
      </w:tr>
      <w:tr>
        <w:tc>
          <w:tcPr>
            <w:tcW w:type="dxa" w:w="1700"/>
            <w:vAlign w:val="center"/>
            <w:tcMar>
              <w:top w:w="55" w:type="dxa"/>
              <w:left w:w="55" w:type="dxa"/>
              <w:bottom w:w="55" w:type="dxa"/>
              <w:right w:w="55" w:type="dxa"/>
            </w:tcMar>
          </w:tcPr>
          <w:p>
            <w:pPr>
              <w:spacing w:before="0" w:after="0" w:line="240" w:lineRule="auto"/>
              <w:jc w:val="left"/>
            </w:pPr>
            <w:r>
              <w:rPr>
                <w:b w:val="0"/>
                <w:sz w:val="15"/>
              </w:rPr>
              <w:t>구조 고장(Blind strict)</w:t>
            </w:r>
          </w:p>
        </w:tc>
        <w:tc>
          <w:tcPr>
            <w:tcW w:type="dxa" w:w="1000"/>
            <w:vAlign w:val="center"/>
            <w:tcMar>
              <w:top w:w="55" w:type="dxa"/>
              <w:left w:w="55" w:type="dxa"/>
              <w:bottom w:w="55" w:type="dxa"/>
              <w:right w:w="55" w:type="dxa"/>
            </w:tcMar>
          </w:tcPr>
          <w:p>
            <w:pPr>
              <w:spacing w:before="0" w:after="0" w:line="240" w:lineRule="auto"/>
              <w:jc w:val="center"/>
            </w:pPr>
            <w:r>
              <w:rPr>
                <w:b w:val="0"/>
                <w:sz w:val="15"/>
              </w:rPr>
              <w:t>16/18</w:t>
            </w:r>
          </w:p>
        </w:tc>
        <w:tc>
          <w:tcPr>
            <w:tcW w:type="dxa" w:w="1000"/>
            <w:vAlign w:val="center"/>
            <w:tcMar>
              <w:top w:w="55" w:type="dxa"/>
              <w:left w:w="55" w:type="dxa"/>
              <w:bottom w:w="55" w:type="dxa"/>
              <w:right w:w="55" w:type="dxa"/>
            </w:tcMar>
          </w:tcPr>
          <w:p>
            <w:pPr>
              <w:spacing w:before="0" w:after="0" w:line="240" w:lineRule="auto"/>
              <w:jc w:val="center"/>
            </w:pPr>
            <w:r>
              <w:rPr>
                <w:b w:val="0"/>
                <w:sz w:val="15"/>
              </w:rPr>
              <w:t>18/18</w:t>
            </w:r>
          </w:p>
        </w:tc>
        <w:tc>
          <w:tcPr>
            <w:tcW w:type="dxa" w:w="1100"/>
            <w:vAlign w:val="center"/>
            <w:tcMar>
              <w:top w:w="55" w:type="dxa"/>
              <w:left w:w="55" w:type="dxa"/>
              <w:bottom w:w="55" w:type="dxa"/>
              <w:right w:w="55" w:type="dxa"/>
            </w:tcMar>
          </w:tcPr>
          <w:p>
            <w:pPr>
              <w:spacing w:before="0" w:after="0" w:line="240" w:lineRule="auto"/>
              <w:jc w:val="center"/>
            </w:pPr>
            <w:r>
              <w:rPr>
                <w:b w:val="0"/>
                <w:sz w:val="15"/>
              </w:rPr>
              <w:t>10/18</w:t>
            </w:r>
          </w:p>
        </w:tc>
      </w:tr>
      <w:tr>
        <w:tc>
          <w:tcPr>
            <w:tcW w:type="dxa" w:w="1700"/>
            <w:vAlign w:val="center"/>
            <w:tcMar>
              <w:top w:w="55" w:type="dxa"/>
              <w:left w:w="55" w:type="dxa"/>
              <w:bottom w:w="55" w:type="dxa"/>
              <w:right w:w="55" w:type="dxa"/>
            </w:tcMar>
          </w:tcPr>
          <w:p>
            <w:pPr>
              <w:spacing w:before="0" w:after="0" w:line="240" w:lineRule="auto"/>
              <w:jc w:val="left"/>
            </w:pPr>
            <w:r>
              <w:rPr>
                <w:b w:val="0"/>
                <w:sz w:val="15"/>
              </w:rPr>
              <w:t>합계</w:t>
            </w:r>
          </w:p>
        </w:tc>
        <w:tc>
          <w:tcPr>
            <w:tcW w:type="dxa" w:w="1000"/>
            <w:vAlign w:val="center"/>
            <w:tcMar>
              <w:top w:w="55" w:type="dxa"/>
              <w:left w:w="55" w:type="dxa"/>
              <w:bottom w:w="55" w:type="dxa"/>
              <w:right w:w="55" w:type="dxa"/>
            </w:tcMar>
          </w:tcPr>
          <w:p>
            <w:pPr>
              <w:spacing w:before="0" w:after="0" w:line="240" w:lineRule="auto"/>
              <w:jc w:val="center"/>
            </w:pPr>
            <w:r>
              <w:rPr>
                <w:b w:val="0"/>
                <w:sz w:val="15"/>
              </w:rPr>
              <w:t>46/48</w:t>
            </w:r>
          </w:p>
        </w:tc>
        <w:tc>
          <w:tcPr>
            <w:tcW w:type="dxa" w:w="1000"/>
            <w:vAlign w:val="center"/>
            <w:tcMar>
              <w:top w:w="55" w:type="dxa"/>
              <w:left w:w="55" w:type="dxa"/>
              <w:bottom w:w="55" w:type="dxa"/>
              <w:right w:w="55" w:type="dxa"/>
            </w:tcMar>
          </w:tcPr>
          <w:p>
            <w:pPr>
              <w:spacing w:before="0" w:after="0" w:line="240" w:lineRule="auto"/>
              <w:jc w:val="center"/>
            </w:pPr>
            <w:r>
              <w:rPr>
                <w:b w:val="0"/>
                <w:sz w:val="15"/>
              </w:rPr>
              <w:t>45/48</w:t>
            </w:r>
          </w:p>
        </w:tc>
        <w:tc>
          <w:tcPr>
            <w:tcW w:type="dxa" w:w="1100"/>
            <w:vAlign w:val="center"/>
            <w:tcMar>
              <w:top w:w="55" w:type="dxa"/>
              <w:left w:w="55" w:type="dxa"/>
              <w:bottom w:w="55" w:type="dxa"/>
              <w:right w:w="55" w:type="dxa"/>
            </w:tcMar>
          </w:tcPr>
          <w:p>
            <w:pPr>
              <w:spacing w:before="0" w:after="0" w:line="240" w:lineRule="auto"/>
              <w:jc w:val="center"/>
            </w:pPr>
            <w:r>
              <w:rPr>
                <w:b w:val="0"/>
                <w:sz w:val="15"/>
              </w:rPr>
              <w:t>37/48</w:t>
            </w:r>
          </w:p>
        </w:tc>
      </w:tr>
    </w:tbl>
    <w:p>
      <w:pPr>
        <w:pStyle w:val="Style20"/>
        <w:spacing w:line="276" w:lineRule="auto" w:after="0"/>
      </w:pPr>
      <w:r>
        <w:rPr/>
        <w:t>표 2의 최종 복구는 46/48(95.8%), 위치 진단은 45/48(93.8%), 전체 진단은 37/48(77.1%)였다. 구조 고장은 부품명이 드러나지 않는 Blind strict 결과를 사용했다. L2 값 고장 3회는 C2 조정으로 성능만 회복해, 기능적 복구와 원인 진단이 다를 수 있음을 보였다. Grid 기준선은 10/10을 복구했지만, 고장 비율의 역수 후보와 65회의 시뮬레이션을 사용해 Agent와 동등한 조건은 아니다.</w:t>
      </w:r>
    </w:p>
    <w:p>
      <w:pPr>
        <w:pStyle w:val="Style21"/>
        <w:spacing w:before="20" w:after="40"/>
        <w:jc w:val="center"/>
      </w:pPr>
      <w:r>
        <w:rPr>
          <w:b w:val="0"/>
          <w:sz w:val="18"/>
        </w:rPr>
        <w:t>&lt;표 3&gt; 인터페이스 개발 및 미사용 확인군(holdout)</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2500"/>
        <w:gridCol w:w="1100"/>
        <w:gridCol w:w="1200"/>
      </w:tblGrid>
      <w:tr>
        <w:tc>
          <w:tcPr>
            <w:tcW w:type="dxa" w:w="2500"/>
            <w:vAlign w:val="center"/>
            <w:tcMar>
              <w:top w:w="55" w:type="dxa"/>
              <w:left w:w="55" w:type="dxa"/>
              <w:bottom w:w="55" w:type="dxa"/>
              <w:right w:w="55" w:type="dxa"/>
            </w:tcMar>
            <w:shd w:fill="D9E2F3"/>
          </w:tcPr>
          <w:p>
            <w:pPr>
              <w:spacing w:before="0" w:after="0" w:line="240" w:lineRule="auto"/>
              <w:jc w:val="center"/>
            </w:pPr>
            <w:r>
              <w:rPr>
                <w:b/>
                <w:sz w:val="15"/>
              </w:rPr>
              <w:t>조건</w:t>
            </w:r>
          </w:p>
        </w:tc>
        <w:tc>
          <w:tcPr>
            <w:tcW w:type="dxa" w:w="1100"/>
            <w:vAlign w:val="center"/>
            <w:tcMar>
              <w:top w:w="55" w:type="dxa"/>
              <w:left w:w="55" w:type="dxa"/>
              <w:bottom w:w="55" w:type="dxa"/>
              <w:right w:w="55" w:type="dxa"/>
            </w:tcMar>
            <w:shd w:fill="D9E2F3"/>
          </w:tcPr>
          <w:p>
            <w:pPr>
              <w:spacing w:before="0" w:after="0" w:line="240" w:lineRule="auto"/>
              <w:jc w:val="center"/>
            </w:pPr>
            <w:r>
              <w:rPr>
                <w:b/>
                <w:sz w:val="15"/>
              </w:rPr>
              <w:t>복구</w:t>
            </w:r>
          </w:p>
        </w:tc>
        <w:tc>
          <w:tcPr>
            <w:tcW w:type="dxa" w:w="1200"/>
            <w:vAlign w:val="center"/>
            <w:tcMar>
              <w:top w:w="55" w:type="dxa"/>
              <w:left w:w="55" w:type="dxa"/>
              <w:bottom w:w="55" w:type="dxa"/>
              <w:right w:w="55" w:type="dxa"/>
            </w:tcMar>
            <w:shd w:fill="D9E2F3"/>
          </w:tcPr>
          <w:p>
            <w:pPr>
              <w:spacing w:before="0" w:after="0" w:line="240" w:lineRule="auto"/>
              <w:jc w:val="center"/>
            </w:pPr>
            <w:r>
              <w:rPr>
                <w:b/>
                <w:sz w:val="15"/>
              </w:rPr>
              <w:t>전체진단</w:t>
            </w:r>
          </w:p>
        </w:tc>
        <w:trPr>
          <w:tblHeader/>
        </w:trPr>
      </w:tr>
      <w:tr>
        <w:tc>
          <w:tcPr>
            <w:tcW w:type="dxa" w:w="2500"/>
            <w:vAlign w:val="center"/>
            <w:tcMar>
              <w:top w:w="55" w:type="dxa"/>
              <w:left w:w="55" w:type="dxa"/>
              <w:bottom w:w="55" w:type="dxa"/>
              <w:right w:w="55" w:type="dxa"/>
            </w:tcMar>
          </w:tcPr>
          <w:p>
            <w:pPr>
              <w:spacing w:before="0" w:after="0" w:line="240" w:lineRule="auto"/>
              <w:jc w:val="left"/>
            </w:pPr>
            <w:r>
              <w:rPr>
                <w:b w:val="0"/>
                <w:sz w:val="15"/>
              </w:rPr>
              <w:t>개발 엄격조건</w:t>
            </w:r>
          </w:p>
        </w:tc>
        <w:tc>
          <w:tcPr>
            <w:tcW w:type="dxa" w:w="1100"/>
            <w:vAlign w:val="center"/>
            <w:tcMar>
              <w:top w:w="55" w:type="dxa"/>
              <w:left w:w="55" w:type="dxa"/>
              <w:bottom w:w="55" w:type="dxa"/>
              <w:right w:w="55" w:type="dxa"/>
            </w:tcMar>
          </w:tcPr>
          <w:p>
            <w:pPr>
              <w:spacing w:before="0" w:after="0" w:line="240" w:lineRule="auto"/>
              <w:jc w:val="center"/>
            </w:pPr>
            <w:r>
              <w:rPr>
                <w:b w:val="0"/>
                <w:sz w:val="15"/>
              </w:rPr>
              <w:t>16/18</w:t>
            </w:r>
          </w:p>
        </w:tc>
        <w:tc>
          <w:tcPr>
            <w:tcW w:type="dxa" w:w="1200"/>
            <w:vAlign w:val="center"/>
            <w:tcMar>
              <w:top w:w="55" w:type="dxa"/>
              <w:left w:w="55" w:type="dxa"/>
              <w:bottom w:w="55" w:type="dxa"/>
              <w:right w:w="55" w:type="dxa"/>
            </w:tcMar>
          </w:tcPr>
          <w:p>
            <w:pPr>
              <w:spacing w:before="0" w:after="0" w:line="240" w:lineRule="auto"/>
              <w:jc w:val="center"/>
            </w:pPr>
            <w:r>
              <w:rPr>
                <w:b w:val="0"/>
                <w:sz w:val="15"/>
              </w:rPr>
              <w:t>10/18</w:t>
            </w:r>
          </w:p>
        </w:tc>
      </w:tr>
      <w:tr>
        <w:tc>
          <w:tcPr>
            <w:tcW w:type="dxa" w:w="2500"/>
            <w:vAlign w:val="center"/>
            <w:tcMar>
              <w:top w:w="55" w:type="dxa"/>
              <w:left w:w="55" w:type="dxa"/>
              <w:bottom w:w="55" w:type="dxa"/>
              <w:right w:w="55" w:type="dxa"/>
            </w:tcMar>
          </w:tcPr>
          <w:p>
            <w:pPr>
              <w:spacing w:before="0" w:after="0" w:line="240" w:lineRule="auto"/>
              <w:jc w:val="left"/>
            </w:pPr>
            <w:r>
              <w:rPr>
                <w:b w:val="0"/>
                <w:sz w:val="15"/>
              </w:rPr>
              <w:t>개발 단위변환</w:t>
            </w:r>
          </w:p>
        </w:tc>
        <w:tc>
          <w:tcPr>
            <w:tcW w:type="dxa" w:w="1100"/>
            <w:vAlign w:val="center"/>
            <w:tcMar>
              <w:top w:w="55" w:type="dxa"/>
              <w:left w:w="55" w:type="dxa"/>
              <w:bottom w:w="55" w:type="dxa"/>
              <w:right w:w="55" w:type="dxa"/>
            </w:tcMar>
          </w:tcPr>
          <w:p>
            <w:pPr>
              <w:spacing w:before="0" w:after="0" w:line="240" w:lineRule="auto"/>
              <w:jc w:val="center"/>
            </w:pPr>
            <w:r>
              <w:rPr>
                <w:b w:val="0"/>
                <w:sz w:val="15"/>
              </w:rPr>
              <w:t>17/18</w:t>
            </w:r>
          </w:p>
        </w:tc>
        <w:tc>
          <w:tcPr>
            <w:tcW w:type="dxa" w:w="1200"/>
            <w:vAlign w:val="center"/>
            <w:tcMar>
              <w:top w:w="55" w:type="dxa"/>
              <w:left w:w="55" w:type="dxa"/>
              <w:bottom w:w="55" w:type="dxa"/>
              <w:right w:w="55" w:type="dxa"/>
            </w:tcMar>
          </w:tcPr>
          <w:p>
            <w:pPr>
              <w:spacing w:before="0" w:after="0" w:line="240" w:lineRule="auto"/>
              <w:jc w:val="center"/>
            </w:pPr>
            <w:r>
              <w:rPr>
                <w:b w:val="0"/>
                <w:sz w:val="15"/>
              </w:rPr>
              <w:t>11/18</w:t>
            </w:r>
          </w:p>
        </w:tc>
      </w:tr>
      <w:tr>
        <w:tc>
          <w:tcPr>
            <w:tcW w:type="dxa" w:w="2500"/>
            <w:vAlign w:val="center"/>
            <w:tcMar>
              <w:top w:w="55" w:type="dxa"/>
              <w:left w:w="55" w:type="dxa"/>
              <w:bottom w:w="55" w:type="dxa"/>
              <w:right w:w="55" w:type="dxa"/>
            </w:tcMar>
          </w:tcPr>
          <w:p>
            <w:pPr>
              <w:spacing w:before="0" w:after="0" w:line="240" w:lineRule="auto"/>
              <w:jc w:val="left"/>
            </w:pPr>
            <w:r>
              <w:rPr>
                <w:b w:val="0"/>
                <w:sz w:val="15"/>
              </w:rPr>
              <w:t>개발 유형설명</w:t>
            </w:r>
          </w:p>
        </w:tc>
        <w:tc>
          <w:tcPr>
            <w:tcW w:type="dxa" w:w="1100"/>
            <w:vAlign w:val="center"/>
            <w:tcMar>
              <w:top w:w="55" w:type="dxa"/>
              <w:left w:w="55" w:type="dxa"/>
              <w:bottom w:w="55" w:type="dxa"/>
              <w:right w:w="55" w:type="dxa"/>
            </w:tcMar>
          </w:tcPr>
          <w:p>
            <w:pPr>
              <w:spacing w:before="0" w:after="0" w:line="240" w:lineRule="auto"/>
              <w:jc w:val="center"/>
            </w:pPr>
            <w:r>
              <w:rPr>
                <w:b w:val="0"/>
                <w:sz w:val="15"/>
              </w:rPr>
              <w:t>16/18</w:t>
            </w:r>
          </w:p>
        </w:tc>
        <w:tc>
          <w:tcPr>
            <w:tcW w:type="dxa" w:w="1200"/>
            <w:vAlign w:val="center"/>
            <w:tcMar>
              <w:top w:w="55" w:type="dxa"/>
              <w:left w:w="55" w:type="dxa"/>
              <w:bottom w:w="55" w:type="dxa"/>
              <w:right w:w="55" w:type="dxa"/>
            </w:tcMar>
          </w:tcPr>
          <w:p>
            <w:pPr>
              <w:spacing w:before="0" w:after="0" w:line="240" w:lineRule="auto"/>
              <w:jc w:val="center"/>
            </w:pPr>
            <w:r>
              <w:rPr>
                <w:b w:val="0"/>
                <w:sz w:val="15"/>
              </w:rPr>
              <w:t>18/18</w:t>
            </w:r>
          </w:p>
        </w:tc>
      </w:tr>
      <w:tr>
        <w:tc>
          <w:tcPr>
            <w:tcW w:type="dxa" w:w="2500"/>
            <w:vAlign w:val="center"/>
            <w:tcMar>
              <w:top w:w="55" w:type="dxa"/>
              <w:left w:w="55" w:type="dxa"/>
              <w:bottom w:w="55" w:type="dxa"/>
              <w:right w:w="55" w:type="dxa"/>
            </w:tcMar>
          </w:tcPr>
          <w:p>
            <w:pPr>
              <w:spacing w:before="0" w:after="0" w:line="240" w:lineRule="auto"/>
              <w:jc w:val="left"/>
            </w:pPr>
            <w:r>
              <w:rPr>
                <w:b w:val="0"/>
                <w:sz w:val="15"/>
              </w:rPr>
              <w:t>개발 결합</w:t>
            </w:r>
          </w:p>
        </w:tc>
        <w:tc>
          <w:tcPr>
            <w:tcW w:type="dxa" w:w="1100"/>
            <w:vAlign w:val="center"/>
            <w:tcMar>
              <w:top w:w="55" w:type="dxa"/>
              <w:left w:w="55" w:type="dxa"/>
              <w:bottom w:w="55" w:type="dxa"/>
              <w:right w:w="55" w:type="dxa"/>
            </w:tcMar>
          </w:tcPr>
          <w:p>
            <w:pPr>
              <w:spacing w:before="0" w:after="0" w:line="240" w:lineRule="auto"/>
              <w:jc w:val="center"/>
            </w:pPr>
            <w:r>
              <w:rPr>
                <w:b w:val="0"/>
                <w:sz w:val="15"/>
              </w:rPr>
              <w:t>17/18</w:t>
            </w:r>
          </w:p>
        </w:tc>
        <w:tc>
          <w:tcPr>
            <w:tcW w:type="dxa" w:w="1200"/>
            <w:vAlign w:val="center"/>
            <w:tcMar>
              <w:top w:w="55" w:type="dxa"/>
              <w:left w:w="55" w:type="dxa"/>
              <w:bottom w:w="55" w:type="dxa"/>
              <w:right w:w="55" w:type="dxa"/>
            </w:tcMar>
          </w:tcPr>
          <w:p>
            <w:pPr>
              <w:spacing w:before="0" w:after="0" w:line="240" w:lineRule="auto"/>
              <w:jc w:val="center"/>
            </w:pPr>
            <w:r>
              <w:rPr>
                <w:b w:val="0"/>
                <w:sz w:val="15"/>
              </w:rPr>
              <w:t>18/18</w:t>
            </w:r>
          </w:p>
        </w:tc>
      </w:tr>
      <w:tr>
        <w:tc>
          <w:tcPr>
            <w:tcW w:type="dxa" w:w="2500"/>
            <w:vAlign w:val="center"/>
            <w:tcMar>
              <w:top w:w="55" w:type="dxa"/>
              <w:left w:w="55" w:type="dxa"/>
              <w:bottom w:w="55" w:type="dxa"/>
              <w:right w:w="55" w:type="dxa"/>
            </w:tcMar>
          </w:tcPr>
          <w:p>
            <w:pPr>
              <w:spacing w:before="0" w:after="0" w:line="240" w:lineRule="auto"/>
              <w:jc w:val="left"/>
            </w:pPr>
            <w:r>
              <w:rPr>
                <w:b w:val="0"/>
                <w:sz w:val="15"/>
              </w:rPr>
              <w:t>확인군 엄격조건</w:t>
            </w:r>
          </w:p>
        </w:tc>
        <w:tc>
          <w:tcPr>
            <w:tcW w:type="dxa" w:w="1100"/>
            <w:vAlign w:val="center"/>
            <w:tcMar>
              <w:top w:w="55" w:type="dxa"/>
              <w:left w:w="55" w:type="dxa"/>
              <w:bottom w:w="55" w:type="dxa"/>
              <w:right w:w="55" w:type="dxa"/>
            </w:tcMar>
          </w:tcPr>
          <w:p>
            <w:pPr>
              <w:spacing w:before="0" w:after="0" w:line="240" w:lineRule="auto"/>
              <w:jc w:val="center"/>
            </w:pPr>
            <w:r>
              <w:rPr>
                <w:b w:val="0"/>
                <w:sz w:val="15"/>
              </w:rPr>
              <w:t>14/18</w:t>
            </w:r>
          </w:p>
        </w:tc>
        <w:tc>
          <w:tcPr>
            <w:tcW w:type="dxa" w:w="1200"/>
            <w:vAlign w:val="center"/>
            <w:tcMar>
              <w:top w:w="55" w:type="dxa"/>
              <w:left w:w="55" w:type="dxa"/>
              <w:bottom w:w="55" w:type="dxa"/>
              <w:right w:w="55" w:type="dxa"/>
            </w:tcMar>
          </w:tcPr>
          <w:p>
            <w:pPr>
              <w:spacing w:before="0" w:after="0" w:line="240" w:lineRule="auto"/>
              <w:jc w:val="center"/>
            </w:pPr>
            <w:r>
              <w:rPr>
                <w:b w:val="0"/>
                <w:sz w:val="15"/>
              </w:rPr>
              <w:t>9/18</w:t>
            </w:r>
          </w:p>
        </w:tc>
      </w:tr>
      <w:tr>
        <w:tc>
          <w:tcPr>
            <w:tcW w:type="dxa" w:w="2500"/>
            <w:vAlign w:val="center"/>
            <w:tcMar>
              <w:top w:w="55" w:type="dxa"/>
              <w:left w:w="55" w:type="dxa"/>
              <w:bottom w:w="55" w:type="dxa"/>
              <w:right w:w="55" w:type="dxa"/>
            </w:tcMar>
          </w:tcPr>
          <w:p>
            <w:pPr>
              <w:spacing w:before="0" w:after="0" w:line="240" w:lineRule="auto"/>
              <w:jc w:val="left"/>
            </w:pPr>
            <w:r>
              <w:rPr>
                <w:b w:val="0"/>
                <w:sz w:val="15"/>
              </w:rPr>
              <w:t>확인군 결합</w:t>
            </w:r>
          </w:p>
        </w:tc>
        <w:tc>
          <w:tcPr>
            <w:tcW w:type="dxa" w:w="1100"/>
            <w:vAlign w:val="center"/>
            <w:tcMar>
              <w:top w:w="55" w:type="dxa"/>
              <w:left w:w="55" w:type="dxa"/>
              <w:bottom w:w="55" w:type="dxa"/>
              <w:right w:w="55" w:type="dxa"/>
            </w:tcMar>
          </w:tcPr>
          <w:p>
            <w:pPr>
              <w:spacing w:before="0" w:after="0" w:line="240" w:lineRule="auto"/>
              <w:jc w:val="center"/>
            </w:pPr>
            <w:r>
              <w:rPr>
                <w:b w:val="0"/>
                <w:sz w:val="15"/>
              </w:rPr>
              <w:t>17/18</w:t>
            </w:r>
          </w:p>
        </w:tc>
        <w:tc>
          <w:tcPr>
            <w:tcW w:type="dxa" w:w="1200"/>
            <w:vAlign w:val="center"/>
            <w:tcMar>
              <w:top w:w="55" w:type="dxa"/>
              <w:left w:w="55" w:type="dxa"/>
              <w:bottom w:w="55" w:type="dxa"/>
              <w:right w:w="55" w:type="dxa"/>
            </w:tcMar>
          </w:tcPr>
          <w:p>
            <w:pPr>
              <w:spacing w:before="0" w:after="0" w:line="240" w:lineRule="auto"/>
              <w:jc w:val="center"/>
            </w:pPr>
            <w:r>
              <w:rPr>
                <w:b w:val="0"/>
                <w:sz w:val="15"/>
              </w:rPr>
              <w:t>18/18</w:t>
            </w:r>
          </w:p>
        </w:tc>
      </w:tr>
    </w:tbl>
    <w:p>
      <w:pPr>
        <w:pStyle w:val="Style20"/>
        <w:spacing w:line="276" w:lineRule="auto" w:after="0"/>
      </w:pPr>
      <w:r>
        <w:rPr/>
        <w:t xml:space="preserve">표 3에서 단위 변환과 고장 유형 설명을 분리하고 미사용 확인군으로 재평가했다. 결합 인터페이스의 유일한 미복구는 L2 short의 정상값 3.9788736 nH를 μH 단위로 제안한 1000배 오류였다. ngspice는 수렴했으나 검증기는 specification 미회복으로 판정했다.</w:t>
      </w:r>
    </w:p>
    <w:p>
      <w:pPr>
        <w:pStyle w:val="Style21"/>
        <w:spacing w:before="20" w:after="40"/>
        <w:jc w:val="center"/>
      </w:pPr>
      <w:r>
        <w:rPr>
          <w:b w:val="0"/>
          <w:sz w:val="18"/>
        </w:rPr>
        <w:t>&lt;표 4&gt; 새 설계의 동일 최대 호출 예산 비교</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1900"/>
        <w:gridCol w:w="950"/>
        <w:gridCol w:w="950"/>
        <w:gridCol w:w="1000"/>
      </w:tblGrid>
      <w:tr>
        <w:tc>
          <w:tcPr>
            <w:tcW w:type="dxa" w:w="1900"/>
            <w:vAlign w:val="center"/>
            <w:tcMar>
              <w:top w:w="55" w:type="dxa"/>
              <w:left w:w="55" w:type="dxa"/>
              <w:bottom w:w="55" w:type="dxa"/>
              <w:right w:w="55" w:type="dxa"/>
            </w:tcMar>
            <w:shd w:fill="D9E2F3"/>
          </w:tcPr>
          <w:p>
            <w:pPr>
              <w:spacing w:before="0" w:after="0" w:line="240" w:lineRule="auto"/>
              <w:jc w:val="center"/>
            </w:pPr>
            <w:r>
              <w:rPr>
                <w:b/>
                <w:sz w:val="15"/>
              </w:rPr>
              <w:t>조건</w:t>
            </w:r>
          </w:p>
        </w:tc>
        <w:tc>
          <w:tcPr>
            <w:tcW w:type="dxa" w:w="950"/>
            <w:vAlign w:val="center"/>
            <w:tcMar>
              <w:top w:w="55" w:type="dxa"/>
              <w:left w:w="55" w:type="dxa"/>
              <w:bottom w:w="55" w:type="dxa"/>
              <w:right w:w="55" w:type="dxa"/>
            </w:tcMar>
            <w:shd w:fill="D9E2F3"/>
          </w:tcPr>
          <w:p>
            <w:pPr>
              <w:spacing w:before="0" w:after="0" w:line="240" w:lineRule="auto"/>
              <w:jc w:val="center"/>
            </w:pPr>
            <w:r>
              <w:rPr>
                <w:b/>
                <w:sz w:val="15"/>
              </w:rPr>
              <w:t>첫 복구</w:t>
            </w:r>
          </w:p>
        </w:tc>
        <w:tc>
          <w:tcPr>
            <w:tcW w:type="dxa" w:w="950"/>
            <w:vAlign w:val="center"/>
            <w:tcMar>
              <w:top w:w="55" w:type="dxa"/>
              <w:left w:w="55" w:type="dxa"/>
              <w:bottom w:w="55" w:type="dxa"/>
              <w:right w:w="55" w:type="dxa"/>
            </w:tcMar>
            <w:shd w:fill="D9E2F3"/>
          </w:tcPr>
          <w:p>
            <w:pPr>
              <w:spacing w:before="0" w:after="0" w:line="240" w:lineRule="auto"/>
              <w:jc w:val="center"/>
            </w:pPr>
            <w:r>
              <w:rPr>
                <w:b/>
                <w:sz w:val="15"/>
              </w:rPr>
              <w:t>최종 복구</w:t>
            </w:r>
          </w:p>
        </w:tc>
        <w:tc>
          <w:tcPr>
            <w:tcW w:type="dxa" w:w="1000"/>
            <w:vAlign w:val="center"/>
            <w:tcMar>
              <w:top w:w="55" w:type="dxa"/>
              <w:left w:w="55" w:type="dxa"/>
              <w:bottom w:w="55" w:type="dxa"/>
              <w:right w:w="55" w:type="dxa"/>
            </w:tcMar>
            <w:shd w:fill="D9E2F3"/>
          </w:tcPr>
          <w:p>
            <w:pPr>
              <w:spacing w:before="0" w:after="0" w:line="240" w:lineRule="auto"/>
              <w:jc w:val="center"/>
            </w:pPr>
            <w:r>
              <w:rPr>
                <w:b/>
                <w:sz w:val="15"/>
              </w:rPr>
              <w:t>호출</w:t>
            </w:r>
          </w:p>
        </w:tc>
        <w:trPr>
          <w:tblHeader/>
        </w:trPr>
      </w:tr>
      <w:tr>
        <w:tc>
          <w:tcPr>
            <w:tcW w:type="dxa" w:w="1900"/>
            <w:vAlign w:val="center"/>
            <w:tcMar>
              <w:top w:w="55" w:type="dxa"/>
              <w:left w:w="55" w:type="dxa"/>
              <w:bottom w:w="55" w:type="dxa"/>
              <w:right w:w="55" w:type="dxa"/>
            </w:tcMar>
          </w:tcPr>
          <w:p>
            <w:pPr>
              <w:spacing w:before="0" w:after="0" w:line="240" w:lineRule="auto"/>
              <w:jc w:val="left"/>
            </w:pPr>
            <w:r>
              <w:rPr>
                <w:b w:val="0"/>
                <w:sz w:val="15"/>
              </w:rPr>
              <w:t>무피드백</w:t>
            </w:r>
          </w:p>
        </w:tc>
        <w:tc>
          <w:tcPr>
            <w:tcW w:type="dxa" w:w="950"/>
            <w:vAlign w:val="center"/>
            <w:tcMar>
              <w:top w:w="55" w:type="dxa"/>
              <w:left w:w="55" w:type="dxa"/>
              <w:bottom w:w="55" w:type="dxa"/>
              <w:right w:w="55" w:type="dxa"/>
            </w:tcMar>
          </w:tcPr>
          <w:p>
            <w:pPr>
              <w:spacing w:before="0" w:after="0" w:line="240" w:lineRule="auto"/>
              <w:jc w:val="center"/>
            </w:pPr>
            <w:r>
              <w:rPr>
                <w:b w:val="0"/>
                <w:sz w:val="15"/>
              </w:rPr>
              <w:t>28/36</w:t>
            </w:r>
          </w:p>
        </w:tc>
        <w:tc>
          <w:tcPr>
            <w:tcW w:type="dxa" w:w="950"/>
            <w:vAlign w:val="center"/>
            <w:tcMar>
              <w:top w:w="55" w:type="dxa"/>
              <w:left w:w="55" w:type="dxa"/>
              <w:bottom w:w="55" w:type="dxa"/>
              <w:right w:w="55" w:type="dxa"/>
            </w:tcMar>
          </w:tcPr>
          <w:p>
            <w:pPr>
              <w:spacing w:before="0" w:after="0" w:line="240" w:lineRule="auto"/>
              <w:jc w:val="center"/>
            </w:pPr>
            <w:r>
              <w:rPr>
                <w:b w:val="0"/>
                <w:sz w:val="15"/>
              </w:rPr>
              <w:t>33/36</w:t>
            </w:r>
          </w:p>
        </w:tc>
        <w:tc>
          <w:tcPr>
            <w:tcW w:type="dxa" w:w="1000"/>
            <w:vAlign w:val="center"/>
            <w:tcMar>
              <w:top w:w="55" w:type="dxa"/>
              <w:left w:w="55" w:type="dxa"/>
              <w:bottom w:w="55" w:type="dxa"/>
              <w:right w:w="55" w:type="dxa"/>
            </w:tcMar>
          </w:tcPr>
          <w:p>
            <w:pPr>
              <w:spacing w:before="0" w:after="0" w:line="240" w:lineRule="auto"/>
              <w:jc w:val="center"/>
            </w:pPr>
            <w:r>
              <w:rPr>
                <w:b w:val="0"/>
                <w:sz w:val="15"/>
              </w:rPr>
              <w:t>46</w:t>
            </w:r>
          </w:p>
        </w:tc>
      </w:tr>
      <w:tr>
        <w:tc>
          <w:tcPr>
            <w:tcW w:type="dxa" w:w="1900"/>
            <w:vAlign w:val="center"/>
            <w:tcMar>
              <w:top w:w="55" w:type="dxa"/>
              <w:left w:w="55" w:type="dxa"/>
              <w:bottom w:w="55" w:type="dxa"/>
              <w:right w:w="55" w:type="dxa"/>
            </w:tcMar>
          </w:tcPr>
          <w:p>
            <w:pPr>
              <w:spacing w:before="0" w:after="0" w:line="240" w:lineRule="auto"/>
              <w:jc w:val="left"/>
            </w:pPr>
            <w:r>
              <w:rPr>
                <w:b w:val="0"/>
                <w:sz w:val="15"/>
              </w:rPr>
              <w:t>피드백</w:t>
            </w:r>
          </w:p>
        </w:tc>
        <w:tc>
          <w:tcPr>
            <w:tcW w:type="dxa" w:w="950"/>
            <w:vAlign w:val="center"/>
            <w:tcMar>
              <w:top w:w="55" w:type="dxa"/>
              <w:left w:w="55" w:type="dxa"/>
              <w:bottom w:w="55" w:type="dxa"/>
              <w:right w:w="55" w:type="dxa"/>
            </w:tcMar>
          </w:tcPr>
          <w:p>
            <w:pPr>
              <w:spacing w:before="0" w:after="0" w:line="240" w:lineRule="auto"/>
              <w:jc w:val="center"/>
            </w:pPr>
            <w:r>
              <w:rPr>
                <w:b w:val="0"/>
                <w:sz w:val="15"/>
              </w:rPr>
              <w:t>28/36</w:t>
            </w:r>
          </w:p>
        </w:tc>
        <w:tc>
          <w:tcPr>
            <w:tcW w:type="dxa" w:w="950"/>
            <w:vAlign w:val="center"/>
            <w:tcMar>
              <w:top w:w="55" w:type="dxa"/>
              <w:left w:w="55" w:type="dxa"/>
              <w:bottom w:w="55" w:type="dxa"/>
              <w:right w:w="55" w:type="dxa"/>
            </w:tcMar>
          </w:tcPr>
          <w:p>
            <w:pPr>
              <w:spacing w:before="0" w:after="0" w:line="240" w:lineRule="auto"/>
              <w:jc w:val="center"/>
            </w:pPr>
            <w:r>
              <w:rPr>
                <w:b w:val="0"/>
                <w:sz w:val="15"/>
              </w:rPr>
              <w:t>31/36</w:t>
            </w:r>
          </w:p>
        </w:tc>
        <w:tc>
          <w:tcPr>
            <w:tcW w:type="dxa" w:w="1000"/>
            <w:vAlign w:val="center"/>
            <w:tcMar>
              <w:top w:w="55" w:type="dxa"/>
              <w:left w:w="55" w:type="dxa"/>
              <w:bottom w:w="55" w:type="dxa"/>
              <w:right w:w="55" w:type="dxa"/>
            </w:tcMar>
          </w:tcPr>
          <w:p>
            <w:pPr>
              <w:spacing w:before="0" w:after="0" w:line="240" w:lineRule="auto"/>
              <w:jc w:val="center"/>
            </w:pPr>
            <w:r>
              <w:rPr>
                <w:b w:val="0"/>
                <w:sz w:val="15"/>
              </w:rPr>
              <w:t>51</w:t>
            </w:r>
          </w:p>
        </w:tc>
      </w:tr>
    </w:tbl>
    <w:p>
      <w:pPr>
        <w:pStyle w:val="Style20"/>
        <w:spacing w:line="276" w:lineRule="auto" w:after="0"/>
      </w:pPr>
      <w:r>
        <w:rPr/>
        <w:t xml:space="preserve">표 4에서 무피드백은 재시도로 5건, 피드백은 3건을 추가 복구했다. 위치·방향 진단은 각각 30/36과 32/36이었다. 무피드백에는 응답 미완료 1건과 성능 미복구 2건, 피드백에는 성능 미복구 5건이 포함된다. 피드백은 후속 입력이 더 길어 실제 토큰·비용까지 같지는 않다. 응답 97개와 후보 96개의 재시뮬레이션으로 기록을 검증했다.</w:t>
      </w:r>
    </w:p>
    <w:p>
      <w:pPr>
        <w:pStyle w:val="Style20"/>
        <w:spacing w:line="276" w:lineRule="auto" w:after="0"/>
      </w:pPr>
      <w:r>
        <w:rPr/>
        <w:t xml:space="preserve">탐색적 후속 실험으로 97·127·157·193 MHz, 대역폭 비율 11·13·15·17%의 새 필터 설계에서 값 고장 8개를 만들었다. 일반 피드백과 공진 계산 보조 피드백을 각 2회, 최대 3회 호출로 비교했다. 후자는 관측 netlist의 LC 연결과 목표 주파수만으로 </w:t>
      </w:r>
      <ns0:oMath xmlns:ns0="http://schemas.openxmlformats.org/officeDocument/2006/math">
        <ns0:r>
          <w:rPr>
            <w:sz w:val="20"/>
          </w:rPr>
          <ns0:t>f=</ns0:t>
        </ns0:r>
        <ns0:f>
          <ns0:num>
            <ns0:r>
              <w:rPr>
                <w:sz w:val="20"/>
              </w:rPr>
              <ns0:t>1</ns0:t>
            </ns0:r>
          </ns0:num>
          <ns0:den>
            <ns0:r>
              <w:rPr>
                <w:sz w:val="20"/>
              </w:rPr>
              <ns0:t>2π</ns0:t>
            </ns0:r>
            <ns0:rad>
              <ns0:radPr>
                <ns0:degHide ns0:val="1"/>
              </ns0:radPr>
              <ns0:deg/>
              <ns0:e>
                <ns0:r>
                  <w:rPr>
                    <w:sz w:val="20"/>
                  </w:rPr>
                  <ns0:t>LC</ns0:t>
                </ns0:r>
              </ns0:e>
            </ns0:rad>
          </ns0:den>
        </ns0:f>
      </ns0:oMath>
      <w:r>
        <w:t>에서 유도한 수정 후보를 입력에 추가한다. 정상값이나 고장 정답은 사용하지 않는다. 두 조건 모두 앞선 새 설계의 수치 제약을 적용했다.</w:t>
      </w:r>
    </w:p>
    <w:p>
      <w:pPr>
        <w:pStyle w:val="Style20"/>
        <w:spacing w:line="276" w:lineRule="auto" w:after="0"/>
      </w:pPr>
      <w:r>
        <w:rPr/>
        <w:t xml:space="preserve">일반 피드백과 계산 보조의 첫 복구는 11/16과 8/16, 최종 복구는 12/16과 15/16이었다. API 호출은 각각 25회와 25회였다. 같은 공진식에서 오차가 큰 LC 쌍의 후보를 부품명 순서로 최대 3개 검증한 결정적 기준선도 LLM 없이 11회 시뮬레이션으로 8/8을 복구했다. 따라서 이 이상적 공진 회로 집합에서 계산 보조의 결과가 LLM의 필수성을 입증하지는 않는다.</w:t>
      </w:r>
    </w:p>
    <w:p>
      <w:pPr>
        <w:pStyle w:val="Style20"/>
        <w:spacing w:line="276" w:lineRule="auto" w:after="0"/>
      </w:pPr>
      <w:r>
        <w:rPr/>
        <w:t xml:space="preserve">다른 topology의 절차 작동 확인을 위해 91·131·181·223 MHz의 직렬 L·병렬 C 정합회로에서 고장 8개를 one-shot으로 평가했다. 50 Ω source와 100·150·200·250 Ω load 포트는 고정했다. 중심 S11≤−20 dB·S21≥−0.25 dB, 0.9f·1.1f에서 S11≤−12 dB·S21≥−0.5 dB의 전용 제약을 사용했다. 복구는 5/8, 위치·방향 진단은 6/8이며 응답 미완료 1건도 실패에 포함했다. 단일 실행 파일럿이므로 일반적인 topology 전이 성능을 주장하지 않는다.</w:t>
      </w:r>
    </w:p>
    <w:p>
      <w:pPr>
        <w:pStyle w:val="Style22"/>
        <w:keepNext/>
      </w:pPr>
      <w:r>
        <w:rPr/>
        <w:t xml:space="preserve">손실 모델과 진단 보류 확장</w:t>
      </w:r>
    </w:p>
    <w:p>
      <w:pPr>
        <w:pStyle w:val="Style20"/>
        <w:spacing w:line="276" w:lineRule="auto" w:after="0"/>
      </w:pPr>
      <w:r>
        <w:rPr/>
        <w:t xml:space="preserve">손실·기생 성분을 추가한 320조건의 정상 PASS는 8건으로, 손실 보상 설계와 별도 사양을 고정했다. L의 직렬 R=0.05 Ω·병렬 C=0.1 pF, C의 직렬 R=0.02 Ω·ESL=0.2 nH를 사용했다. 중심 손실≤2 dB, 반사손실≥15 dB, peak 오차≤3%, 양 통과대역 경계 S21≥−6 dB, 양 저지대역 측정점 S21≤−12 dB를 적용한 새 4설계·8고장에서 이상적 공진 5/8, 수치 탐색 8/8, 같은 후보를 받은 LLM 16/16 복구였다. LLM은 각 사례 2회 모두 최상위 후보를 골랐으나 위치·방향 진단은 8/16이었다. 수치 탐색의 추가 계산 비용이 있어 동일 총예산 비교는 아니다.</w:t>
      </w:r>
    </w:p>
    <w:p>
      <w:pPr>
        <w:pStyle w:val="Style20"/>
        <w:spacing w:line="276" w:lineRule="auto" w:after="0"/>
      </w:pPr>
      <w:r>
        <w:rPr/>
        <w:t xml:space="preserve">새 8고장의 진단 전용 비교에서도 수정 후보 미공개·공개 모두 정답 0/16이었다. 이어 고장 전 기준 측정을 추가했다. 정상 사양 미달 설계 1개를 제외한 적격 3설계·6고장을 호출 전에 별도 고정했다. 기준 없음·기준만·기준과 역추정의 위치·방향 정답은 각각 3/12·3/12·12/12였다. 결정적 역추정 자체도 6/6으로 LLM의 추가 진단 이점은 없었다.</w:t>
      </w:r>
    </w:p>
    <w:p>
      <w:pPr>
        <w:pStyle w:val="Style20"/>
        <w:spacing w:line="276" w:lineRule="auto" w:after="0"/>
      </w:pPr>
      <w:r>
        <w:rPr/>
        <w:t xml:space="preserve">역추정은 현재 회로의 6개 부품별로 과거값 하나만 바꾸어 고장 전 S11·S21·S22의 9주파수 크기와 모델 예측의 dB RMSE를 최소화한다. 측정값은 0.01 dB로 반올림하며 탐색 범위는 현재값의 0.4~2.5배다. 잡음·비균일 환경 및 모델 오차의 개발 확인 후, 개발·보정·평가를 각 4설계로 분리했다. 보정과 평가는 각각 4설계×6부품×±1·3·10%×16오차 조건의 주입 2,304건과 무주입 대조 64건이다. 잡음 σ=0.01 dB, L/C 변화 ±0.1·0.5%, 모델 오차 ±10%와 결합 조건을 포함하며 규격 PASS인 주입 상태도 제외하지 않았다.</w:t>
      </w:r>
    </w:p>
    <w:p>
      <w:pPr>
        <w:pStyle w:val="Style20"/>
        <w:spacing w:line="276" w:lineRule="auto" w:after="0"/>
      </w:pPr>
      <w:r>
        <w:rPr/>
        <w:t xml:space="preserve">무변화·최선·차선 가설 잔차를 E0·E1·E2라 할 때 E1≤0.02 dB, E2−E1≥0.03 dB, E2/max(E1,0.01)≥3을 요구한다. 또한 (E0−E1)/max(E1,0.01)≥8.054607과 ±0.01 dB 재최적화 4회의 부품·방향 일치를 요구한다. 36개 기준 후보 중 보정 오진·오경보 0인 최다 정답 설정을 평가 전에 고정했다. 무변화 점수 문턱은 보정 대조 최대값에 10% 여유를 둔 경험값이며 확률적 보증이 아니다.</w:t>
      </w:r>
    </w:p>
    <w:p>
      <w:pPr>
        <w:pStyle w:val="Style21"/>
        <w:spacing w:before="20" w:after="40"/>
        <w:jc w:val="center"/>
      </w:pPr>
      <w:r>
        <w:rPr>
          <w:b w:val="0"/>
          <w:sz w:val="18"/>
        </w:rPr>
        <w:t xml:space="preserve">&lt;표 5&gt; 미사용 4설계의 진단 보류 기준 비교</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2500"/>
        <w:gridCol w:w="1100"/>
        <w:gridCol w:w="1200"/>
      </w:tblGrid>
      <w:tr>
        <w:tc>
          <w:tcPr>
            <w:tcW w:type="dxa" w:w="2500"/>
            <w:vAlign w:val="center"/>
            <w:tcMar>
              <w:top w:w="55" w:type="dxa"/>
              <w:left w:w="55" w:type="dxa"/>
              <w:bottom w:w="55" w:type="dxa"/>
              <w:right w:w="55" w:type="dxa"/>
            </w:tcMar>
            <w:shd w:fill="D9E2F3"/>
          </w:tcPr>
          <w:p>
            <w:pPr>
              <w:spacing w:before="0" w:after="0" w:line="240" w:lineRule="auto"/>
              <w:jc w:val="center"/>
            </w:pPr>
            <w:r>
              <w:rPr>
                <w:b/>
                <w:sz w:val="15"/>
              </w:rPr>
              <w:t xml:space="preserve">지표</w:t>
            </w:r>
          </w:p>
        </w:tc>
        <w:tc>
          <w:tcPr>
            <w:tcW w:type="dxa" w:w="1100"/>
            <w:vAlign w:val="center"/>
            <w:tcMar>
              <w:top w:w="55" w:type="dxa"/>
              <w:left w:w="55" w:type="dxa"/>
              <w:bottom w:w="55" w:type="dxa"/>
              <w:right w:w="55" w:type="dxa"/>
            </w:tcMar>
            <w:shd w:fill="D9E2F3"/>
          </w:tcPr>
          <w:p>
            <w:pPr>
              <w:spacing w:before="0" w:after="0" w:line="240" w:lineRule="auto"/>
              <w:jc w:val="center"/>
            </w:pPr>
            <w:r>
              <w:rPr>
                <w:b/>
                <w:sz w:val="15"/>
              </w:rPr>
              <w:t xml:space="preserve">기존 기준</w:t>
            </w:r>
          </w:p>
        </w:tc>
        <w:tc>
          <w:tcPr>
            <w:tcW w:type="dxa" w:w="1200"/>
            <w:vAlign w:val="center"/>
            <w:tcMar>
              <w:top w:w="55" w:type="dxa"/>
              <w:left w:w="55" w:type="dxa"/>
              <w:bottom w:w="55" w:type="dxa"/>
              <w:right w:w="55" w:type="dxa"/>
            </w:tcMar>
            <w:shd w:fill="D9E2F3"/>
          </w:tcPr>
          <w:p>
            <w:pPr>
              <w:spacing w:before="0" w:after="0" w:line="240" w:lineRule="auto"/>
              <w:jc w:val="center"/>
            </w:pPr>
            <w:r>
              <w:rPr>
                <w:b/>
                <w:sz w:val="15"/>
              </w:rPr>
              <w:t xml:space="preserve">새 기준</w:t>
            </w:r>
          </w:p>
        </w:tc>
        <w:trPr>
          <w:tblHeader/>
        </w:trPr>
      </w:tr>
      <w:tr>
        <w:tc>
          <w:tcPr>
            <w:tcW w:type="dxa" w:w="2500"/>
            <w:vAlign w:val="center"/>
            <w:tcMar>
              <w:top w:w="55" w:type="dxa"/>
              <w:left w:w="55" w:type="dxa"/>
              <w:bottom w:w="55" w:type="dxa"/>
              <w:right w:w="55" w:type="dxa"/>
            </w:tcMar>
          </w:tcPr>
          <w:p>
            <w:pPr>
              <w:spacing w:before="0" w:after="0" w:line="240" w:lineRule="auto"/>
              <w:jc w:val="left"/>
            </w:pPr>
            <w:r>
              <w:rPr>
                <w:b w:val="0"/>
                <w:sz w:val="15"/>
              </w:rPr>
              <w:t xml:space="preserve">정답 /2,304</w:t>
            </w:r>
          </w:p>
        </w:tc>
        <w:tc>
          <w:tcPr>
            <w:tcW w:type="dxa" w:w="1100"/>
            <w:vAlign w:val="center"/>
            <w:tcMar>
              <w:top w:w="55" w:type="dxa"/>
              <w:left w:w="55" w:type="dxa"/>
              <w:bottom w:w="55" w:type="dxa"/>
              <w:right w:w="55" w:type="dxa"/>
            </w:tcMar>
          </w:tcPr>
          <w:p>
            <w:pPr>
              <w:spacing w:before="0" w:after="0" w:line="240" w:lineRule="auto"/>
              <w:jc w:val="center"/>
            </w:pPr>
            <w:r>
              <w:rPr>
                <w:b w:val="0"/>
                <w:sz w:val="15"/>
              </w:rPr>
              <w:t xml:space="preserve">487</w:t>
            </w:r>
          </w:p>
        </w:tc>
        <w:tc>
          <w:tcPr>
            <w:tcW w:type="dxa" w:w="1200"/>
            <w:vAlign w:val="center"/>
            <w:tcMar>
              <w:top w:w="55" w:type="dxa"/>
              <w:left w:w="55" w:type="dxa"/>
              <w:bottom w:w="55" w:type="dxa"/>
              <w:right w:w="55" w:type="dxa"/>
            </w:tcMar>
          </w:tcPr>
          <w:p>
            <w:pPr>
              <w:spacing w:before="0" w:after="0" w:line="240" w:lineRule="auto"/>
              <w:jc w:val="center"/>
            </w:pPr>
            <w:r>
              <w:rPr>
                <w:b w:val="0"/>
                <w:sz w:val="15"/>
              </w:rPr>
              <w:t xml:space="preserve">615</w:t>
            </w:r>
          </w:p>
        </w:tc>
      </w:tr>
      <w:tr>
        <w:tc>
          <w:tcPr>
            <w:tcW w:type="dxa" w:w="2500"/>
            <w:vAlign w:val="center"/>
            <w:tcMar>
              <w:top w:w="55" w:type="dxa"/>
              <w:left w:w="55" w:type="dxa"/>
              <w:bottom w:w="55" w:type="dxa"/>
              <w:right w:w="55" w:type="dxa"/>
            </w:tcMar>
          </w:tcPr>
          <w:p>
            <w:pPr>
              <w:spacing w:before="0" w:after="0" w:line="240" w:lineRule="auto"/>
              <w:jc w:val="left"/>
            </w:pPr>
            <w:r>
              <w:rPr>
                <w:b w:val="0"/>
                <w:sz w:val="15"/>
              </w:rPr>
              <w:t xml:space="preserve">보류 /2,304</w:t>
            </w:r>
          </w:p>
        </w:tc>
        <w:tc>
          <w:tcPr>
            <w:tcW w:type="dxa" w:w="1100"/>
            <w:vAlign w:val="center"/>
            <w:tcMar>
              <w:top w:w="55" w:type="dxa"/>
              <w:left w:w="55" w:type="dxa"/>
              <w:bottom w:w="55" w:type="dxa"/>
              <w:right w:w="55" w:type="dxa"/>
            </w:tcMar>
          </w:tcPr>
          <w:p>
            <w:pPr>
              <w:spacing w:before="0" w:after="0" w:line="240" w:lineRule="auto"/>
              <w:jc w:val="center"/>
            </w:pPr>
            <w:r>
              <w:rPr>
                <w:b w:val="0"/>
                <w:sz w:val="15"/>
              </w:rPr>
              <w:t xml:space="preserve">1,817</w:t>
            </w:r>
          </w:p>
        </w:tc>
        <w:tc>
          <w:tcPr>
            <w:tcW w:type="dxa" w:w="1200"/>
            <w:vAlign w:val="center"/>
            <w:tcMar>
              <w:top w:w="55" w:type="dxa"/>
              <w:left w:w="55" w:type="dxa"/>
              <w:bottom w:w="55" w:type="dxa"/>
              <w:right w:w="55" w:type="dxa"/>
            </w:tcMar>
          </w:tcPr>
          <w:p>
            <w:pPr>
              <w:spacing w:before="0" w:after="0" w:line="240" w:lineRule="auto"/>
              <w:jc w:val="center"/>
            </w:pPr>
            <w:r>
              <w:rPr>
                <w:b w:val="0"/>
                <w:sz w:val="15"/>
              </w:rPr>
              <w:t xml:space="preserve">1,689</w:t>
            </w:r>
          </w:p>
        </w:tc>
      </w:tr>
      <w:tr>
        <w:tc>
          <w:tcPr>
            <w:tcW w:type="dxa" w:w="2500"/>
            <w:vAlign w:val="center"/>
            <w:tcMar>
              <w:top w:w="55" w:type="dxa"/>
              <w:left w:w="55" w:type="dxa"/>
              <w:bottom w:w="55" w:type="dxa"/>
              <w:right w:w="55" w:type="dxa"/>
            </w:tcMar>
          </w:tcPr>
          <w:p>
            <w:pPr>
              <w:spacing w:before="0" w:after="0" w:line="240" w:lineRule="auto"/>
              <w:jc w:val="left"/>
            </w:pPr>
            <w:r>
              <w:rPr>
                <w:b w:val="0"/>
                <w:sz w:val="15"/>
              </w:rPr>
              <w:t xml:space="preserve">오진 /2,304</w:t>
            </w:r>
          </w:p>
        </w:tc>
        <w:tc>
          <w:tcPr>
            <w:tcW w:type="dxa" w:w="1100"/>
            <w:vAlign w:val="center"/>
            <w:tcMar>
              <w:top w:w="55" w:type="dxa"/>
              <w:left w:w="55" w:type="dxa"/>
              <w:bottom w:w="55" w:type="dxa"/>
              <w:right w:w="55" w:type="dxa"/>
            </w:tcMar>
          </w:tcPr>
          <w:p>
            <w:pPr>
              <w:spacing w:before="0" w:after="0" w:line="240" w:lineRule="auto"/>
              <w:jc w:val="center"/>
            </w:pPr>
            <w:r>
              <w:rPr>
                <w:b w:val="0"/>
                <w:sz w:val="15"/>
              </w:rPr>
              <w:t xml:space="preserve">0</w:t>
            </w:r>
          </w:p>
        </w:tc>
        <w:tc>
          <w:tcPr>
            <w:tcW w:type="dxa" w:w="1200"/>
            <w:vAlign w:val="center"/>
            <w:tcMar>
              <w:top w:w="55" w:type="dxa"/>
              <w:left w:w="55" w:type="dxa"/>
              <w:bottom w:w="55" w:type="dxa"/>
              <w:right w:w="55" w:type="dxa"/>
            </w:tcMar>
          </w:tcPr>
          <w:p>
            <w:pPr>
              <w:spacing w:before="0" w:after="0" w:line="240" w:lineRule="auto"/>
              <w:jc w:val="center"/>
            </w:pPr>
            <w:r>
              <w:rPr>
                <w:b w:val="0"/>
                <w:sz w:val="15"/>
              </w:rPr>
              <w:t xml:space="preserve">0</w:t>
            </w:r>
          </w:p>
        </w:tc>
      </w:tr>
      <w:tr>
        <w:tc>
          <w:tcPr>
            <w:tcW w:type="dxa" w:w="2500"/>
            <w:vAlign w:val="center"/>
            <w:tcMar>
              <w:top w:w="55" w:type="dxa"/>
              <w:left w:w="55" w:type="dxa"/>
              <w:bottom w:w="55" w:type="dxa"/>
              <w:right w:w="55" w:type="dxa"/>
            </w:tcMar>
          </w:tcPr>
          <w:p>
            <w:pPr>
              <w:spacing w:before="0" w:after="0" w:line="240" w:lineRule="auto"/>
              <w:jc w:val="left"/>
            </w:pPr>
            <w:r>
              <w:rPr>
                <w:b w:val="0"/>
                <w:sz w:val="15"/>
              </w:rPr>
              <w:t xml:space="preserve">대조 오경보 /64</w:t>
            </w:r>
          </w:p>
        </w:tc>
        <w:tc>
          <w:tcPr>
            <w:tcW w:type="dxa" w:w="1100"/>
            <w:vAlign w:val="center"/>
            <w:tcMar>
              <w:top w:w="55" w:type="dxa"/>
              <w:left w:w="55" w:type="dxa"/>
              <w:bottom w:w="55" w:type="dxa"/>
              <w:right w:w="55" w:type="dxa"/>
            </w:tcMar>
          </w:tcPr>
          <w:p>
            <w:pPr>
              <w:spacing w:before="0" w:after="0" w:line="240" w:lineRule="auto"/>
              <w:jc w:val="center"/>
            </w:pPr>
            <w:r>
              <w:rPr>
                <w:b w:val="0"/>
                <w:sz w:val="15"/>
              </w:rPr>
              <w:t xml:space="preserve">0</w:t>
            </w:r>
          </w:p>
        </w:tc>
        <w:tc>
          <w:tcPr>
            <w:tcW w:type="dxa" w:w="1200"/>
            <w:vAlign w:val="center"/>
            <w:tcMar>
              <w:top w:w="55" w:type="dxa"/>
              <w:left w:w="55" w:type="dxa"/>
              <w:bottom w:w="55" w:type="dxa"/>
              <w:right w:w="55" w:type="dxa"/>
            </w:tcMar>
          </w:tcPr>
          <w:p>
            <w:pPr>
              <w:spacing w:before="0" w:after="0" w:line="240" w:lineRule="auto"/>
              <w:jc w:val="center"/>
            </w:pPr>
            <w:r>
              <w:rPr>
                <w:b w:val="0"/>
                <w:sz w:val="15"/>
              </w:rPr>
              <w:t xml:space="preserve">0</w:t>
            </w:r>
          </w:p>
        </w:tc>
      </w:tr>
    </w:tbl>
    <w:p>
      <w:pPr>
        <w:pStyle w:val="Style20"/>
        <w:spacing w:line="276" w:lineRule="auto" w:after="0"/>
      </w:pPr>
      <w:r>
        <w:rPr/>
        <w:t xml:space="preserve">표 5의 기존 기준은 E1≤0.02 dB와 E2≥0.10 dB다. 새 기준은 기존 정답 손실 없이 128건을 추가했지만 큰 환경·모델 오차는 계속 보류했다. 대조·재검사 조건을 빼도 이 평가의 판정은 같아 두 조건의 추가 이점은 확인되지 않았다. 새 기준에는 재최적화 비용이 추가되며, 관찰 오류 0건은 미래 오류 0의 보장이 아니다.</w:t>
      </w:r>
    </w:p>
    <w:p>
      <w:pPr>
        <w:pStyle w:val="Style20"/>
        <w:spacing w:line="276" w:lineRule="auto" w:after="0"/>
      </w:pPr>
      <w:r>
        <w:rPr/>
        <w:t xml:space="preserve">확정 615건만 ±0.01 dB 재검사를 4회에서 16회로 늘린 사후 확인에서도 모두 같은 부품·방향을 유지했다. 추가 계산은 7,380회이며 새 불안정 사례가 없어 기본 4회를 유지했다. 이는 새로운 미사용 평가나 실측 검증이 아니다.</w:t>
      </w:r>
    </w:p>
    <w:p>
      <w:pPr>
        <w:pStyle w:val="Style22"/>
        <w:keepNext/>
      </w:pPr>
      <w:r>
        <w:rPr/>
        <w:t>한계 및 결론</w:t>
      </w:r>
    </w:p>
    <w:p>
      <w:pPr>
        <w:pStyle w:val="Style20"/>
        <w:spacing w:line="276" w:lineRule="auto" w:after="0"/>
      </w:pPr>
      <w:r>
        <w:rPr/>
        <w:t xml:space="preserve">주 비교의 구조 holdout은 같은 회로의 새 고장 6종을 3회 반복한 결과다. Blind에서도 빠진 부품명과 RFAULT1·저항값·포트 정보가 남으므로 일반적인 원인 추론 능력을 뜻하지 않는다. 후속 확장은 앞선 결과를 보고 설계한 탐색이며 주 결과와 분모를 합산하지 않는다. 반복 행은 독립 회로 표본이 아니다. 손실·오차도 합성 가정이며 정확한 현재 부품값과 고정 등가모형, 고장 전 측정, 단일 값 변화에 의존한다. 실제 PCB/RFIC·온도·비선형성 및 통계적 오류 보증은 검증하지 않았다.</w:t>
      </w:r>
    </w:p>
    <w:p>
      <w:pPr>
        <w:pStyle w:val="Style20"/>
        <w:spacing w:line="276" w:lineRule="auto" w:after="0"/>
      </w:pPr>
      <w:r>
        <w:rPr/>
        <w:t xml:space="preserve">독립 SPICE 검증은 원인 진단과 기능 복구를 구분했다. 동일 최대 호출 예산에서 피드백 우위는 없었고, 수치 기준선 대비 LLM의 추가 기여도 확인되지 않았다. 보류 기준 보정은 관찰 오진 없이 구분 가능한 작은 변화의 진단을 늘렸지만 큰 모델 오차는 해결하지 못했다. 후속 과제는 환경·모델 변화의 설명과 실제 측정 불확실성 검증이다.</w:t>
      </w:r>
    </w:p>
    <w:p>
      <w:pPr>
        <w:pStyle w:val="Style23"/>
        <w:keepNext/>
        <w:jc w:val="center"/>
        <w:spacing w:line="276" w:lineRule="auto" w:after="0"/>
      </w:pPr>
      <w:r/>
      <w:r>
        <w:rPr>
          <w:b w:val="true"/>
        </w:rPr>
        <w:t>참고문헌</w:t>
      </w:r>
    </w:p>
    <w:p>
      <w:pPr>
        <w:pStyle w:val="Style23"/>
        <w:spacing w:line="276" w:lineRule="auto" w:after="0"/>
        <w:ind w:left="173" w:hanging="173"/>
      </w:pPr>
      <w:r>
        <w:rPr/>
        <w:t>[1] D. Vungarala, S. Alam, A. Ghosh, and S. Angizi, "SPICEPilot: Navigating SPICE Code Generation and Simulation with AI Guidance," arXiv:2410.20553, 2024.</w:t>
      </w:r>
    </w:p>
    <w:p>
      <w:pPr>
        <w:pStyle w:val="Style23"/>
        <w:spacing w:line="276" w:lineRule="auto" w:after="0"/>
        <w:ind w:left="173" w:hanging="173"/>
      </w:pPr>
      <w:r>
        <w:rPr/>
        <w:t>[2] H. Jin, J. Wang, J. Sheng, Y. Wu, J. Chen, Y. Wang, and J. Liu, "WiseEDA: LLMs in RF Circuit Design," Microelectronics Journal, vol. 158, Art. no. 106607, 2025, doi:10.1016/j.mejo.2025.106607.</w:t>
      </w:r>
    </w:p>
    <w:p>
      <w:pPr>
        <w:pStyle w:val="Style23"/>
        <w:spacing w:line="276" w:lineRule="auto" w:after="0"/>
        <w:ind w:left="173" w:hanging="173"/>
      </w:pPr>
      <w:r>
        <w:rPr/>
        <w:t>[3] H. Lu et al., "RFAmpDesigner: A Self-Evolving Multi-Agent LLM Framework for Automated Radio Frequency Amplifier Design," arXiv:2605.10093, 2026.</w:t>
      </w:r>
    </w:p>
    <w:p>
      <w:pPr>
        <w:pStyle w:val="Style23"/>
        <w:spacing w:line="276" w:lineRule="auto" w:after="0"/>
        <w:ind w:left="173" w:hanging="173"/>
      </w:pPr>
      <w:r>
        <w:rPr/>
        <w:t>[4] J. Chaudhuri, D. Thapar, A. Chaudhuri, F. Firouzi, and K. Chakrabarty, "SPICED+: Syntactical Bug Pattern Identification and Correction of Trojans in A/MS Circuits Using LLM-Enhanced Detection," IEEE Trans. VLSI Syst., vol. 33, no. 4, pp. 1118–1131, 2025, doi:10.1109/TVLSI.2025.3527382.</w:t>
      </w:r>
    </w:p>
    <w:p>
      <w:pPr>
        <w:pStyle w:val="Style23"/>
        <w:spacing w:line="276" w:lineRule="auto" w:after="0"/>
        <w:ind w:left="173" w:hanging="173"/>
      </w:pPr>
      <w:r>
        <w:rPr/>
        <w:t>[5] J. Ma, J. Wang, Y. Ma, Z. Zhuang, and X. Liu, "NetlistBench: Evaluating LLM Reliability in SPICE Netlist Recognition and Manipulation," arXiv:2608.12197, 2026.</w:t>
      </w:r>
    </w:p>
    <w:sectPr>
      <w:type w:val="continuous"/>
      <w:pgSz w:w="11906" w:h="16838"/>
      <w:pgMar w:left="900" w:right="851" w:gutter="0" w:header="567" w:top="1701" w:footer="567" w:bottom="964"/>
      <w:cols w:num="2" w:space="284" w:equalWidth="true" w:sep="false"/>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Liberation Sans">
    <w:altName w:val="Arial"/>
    <w:charset w:val="01"/>
    <w:family w:val="swiss"/>
    <w:pitch w:val="variable"/>
  </w:font>
  <w:font w:name="바탕">
    <w:altName w:val="Batang"/>
    <w:charset w:val="81"/>
    <w:family w:val="roman"/>
    <w:pitch w:val="variable"/>
  </w:font>
  <w:font w:name="굴림">
    <w:altName w:val="Gulim"/>
    <w:charset w:val="81"/>
    <w:family w:val="modern"/>
    <w:pitch w:val="variable"/>
  </w:font>
  <w:font w:name="바탕체">
    <w:charset w:val="81"/>
    <w:family w:val="roman"/>
    <w:pitch w:val="default"/>
  </w:font>
  <w:font w:name="한컴바탕">
    <w:charset w:val="81"/>
    <w:family w:val="roman"/>
    <w:pitch w:val="variable"/>
  </w:font>
  <w:font w:name="HY그래픽">
    <w:altName w:val="바탕"/>
    <w:charset w:val="81"/>
    <w:family w:val="roman"/>
    <w:pitch w:val="variable"/>
  </w:font>
  <w:font w:name="함초롬돋움">
    <w:charset w:val="81"/>
    <w:family w:val="modern"/>
    <w:pitch w:val="variable"/>
  </w:font>
  <w:font w:name="함초롱">
    <w:altName w:val="바탕"/>
    <w:charset w:val="8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14605" cy="146685"/>
              <wp:effectExtent l="0" t="0" r="0" b="0"/>
              <wp:wrapSquare wrapText="bothSides"/>
              <wp:docPr id="1" name="Frame1" descr="한국정보처리학회 학술발표대회 문서 바닥글 표식"/>
              <a:graphic xmlns:a="http://schemas.openxmlformats.org/drawingml/2006/main">
                <a:graphicData uri="http://schemas.microsoft.com/office/word/2010/wordprocessingShape">
                  <wps:wsp>
                    <wps:cNvSpPr txBox="1"/>
                    <wps:spPr>
                      <a:xfrm>
                        <a:off x="0" y="0"/>
                        <a:ext cx="14605" cy="146685"/>
                      </a:xfrm>
                      <a:prstGeom prst="rect"/>
                      <a:solidFill>
                        <a:srgbClr val="FFFFFF">
                          <a:alpha val="0"/>
                        </a:srgbClr>
                      </a:solidFill>
                    </wps:spPr>
                    <wps:txbx>
                      <w:txbxContent>
                        <w:p>
                          <w:pPr>
                            <w:pStyle w:val="Footer"/>
                            <w:rPr>
                              <w:rStyle w:val="PageNumber"/>
                            </w:rPr>
                          </w:pPr>
                          <w:r>
                            <w:rPr/>
                          </w:r>
                        </w:p>
                      </w:txbxContent>
                    </wps:txbx>
                    <wps:bodyPr anchor="t" lIns="0" tIns="0" rIns="0" bIns="0">
                      <a:noAutofit/>
                    </wps:bodyPr>
                  </wps:wsp>
                </a:graphicData>
              </a:graphic>
            </wp:anchor>
          </w:drawing>
        </mc:Choice>
        <mc:Fallback>
          <w:pict>
            <v:rect fillcolor="#FFFFFF" style="position:absolute;rotation:-0;width:1.15pt;height:1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rPr>
    </w:pPr>
    <w:r>
      <w:rPr>
        <w:rFonts w:hint="eastAsia"/>
      </w:rPr>
    </w:r>
  </w:p>
  <w:p>
    <w:pPr>
      <w:pStyle w:val="Header"/>
      <w:rPr>
        <w:rFonts w:hint="eastAsia"/>
      </w:rPr>
    </w:pPr>
    <w:r>
      <w:rPr>
        <w:rFonts w:hint="eastAsia"/>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849"/>
        </w:tabs>
        <w:ind w:start="849" w:hanging="225"/>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851"/>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ko-KR"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바탕체" w:cs="Times New Roman"/>
      <w:color w:val="auto"/>
      <w:kern w:val="2"/>
      <w:sz w:val="20"/>
      <w:szCs w:val="20"/>
      <w:lang w:bidi="ar-SA" w:val="en-US" w:eastAsia="ko-KR"/>
    </w:rPr>
  </w:style>
  <w:style w:type="character" w:styleId="WW8Num1z0">
    <w:name w:val="WW8Num1z0"/>
    <w:qFormat/>
    <w:rPr>
      <w:rFonts w:hint="eastAsia"/>
    </w:rPr>
  </w:style>
  <w:style w:type="character" w:styleId="WW8Num2z0">
    <w:name w:val="WW8Num2z0"/>
    <w:qFormat/>
    <w:rPr>
      <w:rFonts w:ascii="Wingdings" w:hAnsi="Wingdings" w:eastAsia="바탕체" w:cs="Times New Roman"/>
    </w:rPr>
  </w:style>
  <w:style w:type="character" w:styleId="WW8Num2z1">
    <w:name w:val="WW8Num2z1"/>
    <w:qFormat/>
    <w:rPr>
      <w:rFonts w:ascii="Wingdings" w:hAnsi="Wingdings" w:cs="Wingdings"/>
    </w:rPr>
  </w:style>
  <w:style w:type="character" w:styleId="Style14">
    <w:name w:val="기본 단락 글꼴"/>
    <w:qFormat/>
    <w:rPr/>
  </w:style>
  <w:style w:type="character" w:styleId="Hyperlink">
    <w:name w:val="Hyperlink"/>
    <w:rPr>
      <w:color w:val="0000FF"/>
      <w:u w:val="single"/>
    </w:rPr>
  </w:style>
  <w:style w:type="character" w:styleId="FollowedHyperlink">
    <w:name w:val="FollowedHyperlink"/>
    <w:rPr>
      <w:color w:val="800080"/>
      <w:u w:val="single"/>
    </w:rPr>
  </w:style>
  <w:style w:type="character" w:styleId="PageNumber">
    <w:name w:val="page number"/>
    <w:basedOn w:val="Style14"/>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tyle15">
    <w:name w:val="국문 제목"/>
    <w:basedOn w:val="Normal"/>
    <w:qFormat/>
    <w:pPr>
      <w:spacing w:lineRule="auto" w:line="264" w:before="120" w:after="0"/>
      <w:ind w:hanging="0" w:start="851" w:end="851"/>
      <w:jc w:val="center"/>
    </w:pPr>
    <w:rPr>
      <w:b/>
      <w:sz w:val="40"/>
    </w:rPr>
  </w:style>
  <w:style w:type="paragraph" w:styleId="Style16">
    <w:name w:val="국문 저자명"/>
    <w:basedOn w:val="Normal"/>
    <w:qFormat/>
    <w:pPr>
      <w:ind w:hanging="0" w:start="851" w:end="851"/>
      <w:jc w:val="center"/>
    </w:pPr>
    <w:rPr>
      <w:sz w:val="24"/>
    </w:rPr>
  </w:style>
  <w:style w:type="paragraph" w:styleId="Style17">
    <w:name w:val="영문 제목"/>
    <w:basedOn w:val="Normal"/>
    <w:qFormat/>
    <w:pPr>
      <w:spacing w:lineRule="auto" w:line="264" w:before="120" w:after="0"/>
      <w:ind w:hanging="0" w:start="851" w:end="851"/>
      <w:jc w:val="center"/>
    </w:pPr>
    <w:rPr>
      <w:b/>
      <w:sz w:val="36"/>
    </w:rPr>
  </w:style>
  <w:style w:type="paragraph" w:styleId="Style18">
    <w:name w:val="영문 저자명"/>
    <w:basedOn w:val="Normal"/>
    <w:qFormat/>
    <w:pPr>
      <w:ind w:hanging="0" w:start="851" w:end="851"/>
      <w:jc w:val="center"/>
    </w:pPr>
    <w:rPr>
      <w:sz w:val="24"/>
    </w:rPr>
  </w:style>
  <w:style w:type="paragraph" w:styleId="Style19">
    <w:name w:val="요약"/>
    <w:basedOn w:val="Normal"/>
    <w:qFormat/>
    <w:pPr>
      <w:spacing w:lineRule="auto" w:line="264"/>
      <w:ind w:hanging="0" w:start="851" w:end="851"/>
    </w:pPr>
    <w:rPr>
      <w:sz w:val="18"/>
    </w:rPr>
  </w:style>
  <w:style w:type="paragraph" w:styleId="Style20">
    <w:name w:val="논문 내용"/>
    <w:basedOn w:val="Normal"/>
    <w:qFormat/>
    <w:pPr>
      <w:ind w:firstLine="227" w:start="0" w:end="0"/>
    </w:pPr>
    <w:rPr/>
  </w:style>
  <w:style w:type="paragraph" w:styleId="Style21">
    <w:name w:val="캡션"/>
    <w:basedOn w:val="Normal"/>
    <w:next w:val="Normal"/>
    <w:qFormat/>
    <w:pPr>
      <w:spacing w:before="120" w:after="240"/>
    </w:pPr>
    <w:rPr>
      <w:b/>
    </w:rPr>
  </w:style>
  <w:style w:type="paragraph" w:styleId="HeaderandFooter">
    <w:name w:val="Header and Footer"/>
    <w:basedOn w:val="Normal"/>
    <w:qFormat/>
    <w:pPr>
      <w:suppressLineNumbers/>
      <w:tabs>
        <w:tab w:val="clear" w:pos="851"/>
        <w:tab w:val="center" w:pos="4819" w:leader="none"/>
        <w:tab w:val="right" w:pos="9638" w:leader="none"/>
      </w:tabs>
    </w:pPr>
    <w:rPr/>
  </w:style>
  <w:style w:type="paragraph" w:styleId="Header">
    <w:name w:val="header"/>
    <w:basedOn w:val="Normal"/>
    <w:pPr>
      <w:tabs>
        <w:tab w:val="clear" w:pos="851"/>
        <w:tab w:val="center" w:pos="4252" w:leader="none"/>
        <w:tab w:val="right" w:pos="8504" w:leader="none"/>
      </w:tabs>
      <w:snapToGrid w:val="false"/>
    </w:pPr>
    <w:rPr/>
  </w:style>
  <w:style w:type="paragraph" w:styleId="Style22">
    <w:name w:val="논문 내용 제목"/>
    <w:basedOn w:val="Style20"/>
    <w:next w:val="Style20"/>
    <w:qFormat/>
    <w:pPr>
      <w:numPr>
        <w:ilvl w:val="0"/>
        <w:numId w:val="1"/>
      </w:numPr>
      <w:tabs>
        <w:tab w:val="clear" w:pos="851"/>
        <w:tab w:val="left" w:pos="284" w:leader="none"/>
      </w:tabs>
      <w:spacing w:lineRule="auto" w:line="360"/>
      <w:ind w:hanging="227" w:start="227" w:end="0"/>
    </w:pPr>
    <w:rPr>
      <w:rFonts w:eastAsia="돋움체"/>
      <w:b/>
    </w:rPr>
  </w:style>
  <w:style w:type="paragraph" w:styleId="Style23">
    <w:name w:val="참고문헌"/>
    <w:basedOn w:val="Style20"/>
    <w:qFormat/>
    <w:pPr>
      <w:ind w:hanging="0" w:start="0" w:end="0"/>
    </w:pPr>
    <w:rPr/>
  </w:style>
  <w:style w:type="paragraph" w:styleId="Footer">
    <w:name w:val="footer"/>
    <w:basedOn w:val="Normal"/>
    <w:pPr>
      <w:tabs>
        <w:tab w:val="clear" w:pos="851"/>
        <w:tab w:val="center" w:pos="4252" w:leader="none"/>
        <w:tab w:val="right" w:pos="8504" w:leader="none"/>
      </w:tabs>
      <w:snapToGrid w:val="false"/>
    </w:pPr>
    <w:rPr/>
  </w:style>
  <w:style w:type="paragraph" w:styleId="Style24">
    <w:name w:val="일반 (웹)"/>
    <w:basedOn w:val="Normal"/>
    <w:qFormat/>
    <w:pPr>
      <w:widowControl/>
      <w:spacing w:before="100" w:after="100"/>
      <w:jc w:val="start"/>
    </w:pPr>
    <w:rPr>
      <w:rFonts w:ascii="바탕;Batang" w:hAnsi="바탕;Batang" w:eastAsia="바탕;Batang" w:cs="바탕;Batang"/>
      <w:kern w:val="0"/>
      <w:sz w:val="24"/>
      <w:szCs w:val="24"/>
    </w:rPr>
  </w:style>
  <w:style w:type="paragraph" w:styleId="Style25">
    <w:name w:val="바탕글"/>
    <w:basedOn w:val="Normal"/>
    <w:qFormat/>
    <w:pPr>
      <w:shd w:fill="FFFFFF" w:val="clear"/>
      <w:autoSpaceDE w:val="false"/>
      <w:snapToGrid w:val="false"/>
      <w:spacing w:lineRule="auto" w:line="384"/>
      <w:textAlignment w:val="baseline"/>
    </w:pPr>
    <w:rPr>
      <w:rFonts w:ascii="굴림;Gulim" w:hAnsi="굴림;Gulim" w:eastAsia="굴림;Gulim" w:cs="굴림;Gulim"/>
      <w:color w:val="000000"/>
      <w:kern w:val="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2026-07-16T12:09:00Z</dcterms:created>
  <dc:creator/>
  <dc:description/>
  <cp:keywords>LLM agent, SPICE, RF circuit, fault diagnosis, simulator-grounded validation</cp:keywords>
  <dc:language>ko-KR</dc:language>
  <cp:lastModifiedBy/>
  <cp:lastPrinted>1999-08-15T23:43:00Z</cp:lastPrinted>
  <dcterms:modified xsi:type="dcterms:W3CDTF">2026-07-21T11:13:00Z</dcterms:modified>
  <cp:revision>5</cp:revision>
  <dc:subject>Simulation-grounded RF circuit fault diagnosis and repair</dc:subject>
  <dc:title>SPICE 피드백 기반 LLM 에이전트의 RF 회로 고장 진단 및 복구</dc:title>
</cp:coreProperties>
</file>