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ontserrat" w:hAnsi="Montserrat"/>
          <w:b/>
          <w:color w:val="203965"/>
          <w:sz w:val="56"/>
        </w:rPr>
        <w:t>Analyse zu Physik 6: Kozyrevs Zeitfluss und relative Änderungen</w:t>
      </w:r>
    </w:p>
    <w:p>
      <w:pPr>
        <w:spacing w:before="0" w:after="120"/>
        <w:pBdr>
          <w:bottom w:val="single" w:sz="6" w:space="1" w:color="FFC000"/>
        </w:pBdr>
      </w:pPr>
    </w:p>
    <w:p>
      <w:pPr>
        <w:pStyle w:val="Heading1"/>
      </w:pPr>
      <w:r>
        <w:rPr>
          <w:rFonts w:ascii="Montserrat" w:hAnsi="Montserrat"/>
          <w:b/>
          <w:color w:val="203965"/>
          <w:sz w:val="40"/>
        </w:rPr>
        <w:t>1. Einleitung und Zielsetzung</w:t>
      </w:r>
    </w:p>
    <w:p>
      <w:pPr>
        <w:spacing w:before="0" w:after="120"/>
        <w:pBdr>
          <w:bottom w:val="single" w:sz="6" w:space="1" w:color="FFC000"/>
        </w:pBdr>
      </w:pPr>
    </w:p>
    <w:p>
      <w:pPr>
        <w:spacing w:after="120"/>
      </w:pPr>
      <w:r>
        <w:rPr>
          <w:rFonts w:ascii="Lato" w:hAnsi="Lato"/>
          <w:b w:val="0"/>
          <w:i w:val="0"/>
          <w:color w:val="333333"/>
          <w:sz w:val="22"/>
          <w:u w:val="none"/>
        </w:rPr>
        <w:t xml:space="preserve">Kozyrevs Konzept der substanziellen Zeit und der Raumzeitdynamik postuliert, dass irreversible physikalische Prozesse (wie Phasenübergänge, Verbrennung, thermische Effekte oder dissipativer Energieverlust in Himmelskörpern) einen realen physikalischen Strom – den sogenannten </w:t>
      </w:r>
      <w:r>
        <w:rPr>
          <w:rFonts w:ascii="Lato" w:hAnsi="Lato"/>
          <w:b/>
          <w:i w:val="0"/>
          <w:color w:val="333333"/>
          <w:sz w:val="22"/>
          <w:u w:val="none"/>
        </w:rPr>
        <w:t>Kozyrev-Fluss</w:t>
      </w:r>
      <w:r>
        <w:rPr>
          <w:rFonts w:ascii="Lato" w:hAnsi="Lato"/>
          <w:b w:val="0"/>
          <w:i w:val="0"/>
          <w:color w:val="333333"/>
          <w:sz w:val="22"/>
          <w:u w:val="none"/>
        </w:rPr>
        <w:t xml:space="preserve"> – emittieren oder absorbieren. In diesem Rahmen stellt sich für den Phasendetektor die zentrale Frage: Welche quantitativen Aussagen über natürlich vorkommende relative Zeitflussänderungen lassen sich aus den Beobachtungen und experimentellen Daten von Nikolai Kozyrev und seinen Mitarbeitern (Levich, Nasonov, Danchakov, Lavrentyev et al.) ableiten?</w:t>
      </w:r>
    </w:p>
    <w:p>
      <w:pPr>
        <w:pStyle w:val="Heading1"/>
      </w:pPr>
      <w:r>
        <w:rPr>
          <w:rFonts w:ascii="Montserrat" w:hAnsi="Montserrat"/>
          <w:b/>
          <w:color w:val="203965"/>
          <w:sz w:val="40"/>
        </w:rPr>
        <w:t>2. Analyse der Kozyrev-Dokumentation (Physik 6)</w:t>
      </w:r>
    </w:p>
    <w:p>
      <w:pPr>
        <w:spacing w:before="0" w:after="120"/>
        <w:pBdr>
          <w:bottom w:val="single" w:sz="6" w:space="1" w:color="FFC000"/>
        </w:pBdr>
      </w:pPr>
    </w:p>
    <w:p>
      <w:pPr>
        <w:spacing w:after="120"/>
      </w:pPr>
      <w:r>
        <w:rPr>
          <w:rFonts w:ascii="Lato" w:hAnsi="Lato"/>
          <w:b w:val="0"/>
          <w:i w:val="0"/>
          <w:color w:val="333333"/>
          <w:sz w:val="22"/>
          <w:u w:val="none"/>
        </w:rPr>
        <w:t>Basierend auf der Analyse des bereitgestellten Dokumentes (</w:t>
      </w:r>
      <w:r>
        <w:rPr>
          <w:rFonts w:ascii="Lato" w:hAnsi="Lato"/>
          <w:b w:val="0"/>
          <w:i/>
          <w:color w:val="333333"/>
          <w:sz w:val="22"/>
          <w:u w:val="none"/>
        </w:rPr>
        <w:t>Chapter 1: A Substantial Interpretation of N.A.Kozyrev’s Conception of Time</w:t>
      </w:r>
      <w:r>
        <w:rPr>
          <w:rFonts w:ascii="Lato" w:hAnsi="Lato"/>
          <w:b w:val="0"/>
          <w:i w:val="0"/>
          <w:color w:val="333333"/>
          <w:sz w:val="22"/>
          <w:u w:val="none"/>
        </w:rPr>
        <w:t>) lassen sich für den aktuellen Fokus „Physik 6“ folgende Kernpunkte und Kennwerte herausarbeiten:</w:t>
      </w:r>
    </w:p>
    <w:p>
      <w:pPr>
        <w:spacing w:before="20" w:after="20"/>
        <w:ind w:left="576" w:hanging="288"/>
      </w:pPr>
      <w:r>
        <w:rPr>
          <w:rFonts w:ascii="Lato" w:hAnsi="Lato"/>
          <w:color w:val="FFC000"/>
          <w:sz w:val="22"/>
        </w:rPr>
        <w:t xml:space="preserve">•  </w:t>
      </w:r>
      <w:r>
        <w:rPr>
          <w:rFonts w:ascii="Lato" w:hAnsi="Lato"/>
          <w:b/>
          <w:i w:val="0"/>
          <w:color w:val="333333"/>
          <w:sz w:val="22"/>
          <w:u w:val="none"/>
        </w:rPr>
        <w:t>Dimensionslose Konstanten und Kopplungsfaktoren ($c_2$):</w:t>
      </w:r>
      <w:r>
        <w:rPr>
          <w:rFonts w:ascii="Lato" w:hAnsi="Lato"/>
          <w:b w:val="0"/>
          <w:i w:val="0"/>
          <w:color w:val="333333"/>
          <w:sz w:val="22"/>
          <w:u w:val="none"/>
        </w:rPr>
        <w:t xml:space="preserve"> </w:t>
      </w:r>
    </w:p>
    <w:p>
      <w:pPr>
        <w:spacing w:after="120"/>
      </w:pPr>
      <w:r>
        <w:rPr>
          <w:rFonts w:ascii="Lato" w:hAnsi="Lato"/>
          <w:b w:val="0"/>
          <w:i w:val="0"/>
          <w:color w:val="333333"/>
          <w:sz w:val="22"/>
          <w:u w:val="none"/>
        </w:rPr>
        <w:t>Kozyrev definierte die fundamentale Geschwindigkeit des Ursache-Wirkungs-Ubergangs bzw. des Zeitflusses mit $c_2 \approx 700\,\text{km/s}$. Das Verhältnis zum Lichtgeschwindigkeits-Parameter $c_1$ skaliert mit der Sommerfeldschen Feinstrukturkonstanten ($\alpha \approx 1/137$).</w:t>
      </w:r>
    </w:p>
    <w:p>
      <w:pPr>
        <w:spacing w:before="20" w:after="20"/>
        <w:ind w:left="576" w:hanging="288"/>
      </w:pPr>
      <w:r>
        <w:rPr>
          <w:rFonts w:ascii="Lato" w:hAnsi="Lato"/>
          <w:color w:val="FFC000"/>
          <w:sz w:val="22"/>
        </w:rPr>
        <w:t xml:space="preserve">•  </w:t>
      </w:r>
      <w:r>
        <w:rPr>
          <w:rFonts w:ascii="Lato" w:hAnsi="Lato"/>
          <w:b/>
          <w:i w:val="0"/>
          <w:color w:val="333333"/>
          <w:sz w:val="22"/>
          <w:u w:val="none"/>
        </w:rPr>
        <w:t>Relative Effektgrößen in Detektoren:</w:t>
      </w:r>
    </w:p>
    <w:p>
      <w:pPr>
        <w:spacing w:before="20" w:after="20"/>
        <w:ind w:left="1008" w:hanging="288"/>
      </w:pPr>
      <w:r>
        <w:rPr>
          <w:rFonts w:ascii="Lato" w:hAnsi="Lato"/>
          <w:color w:val="FFC000"/>
          <w:sz w:val="22"/>
        </w:rPr>
        <w:t xml:space="preserve">◦  </w:t>
      </w:r>
      <w:r>
        <w:rPr>
          <w:rFonts w:ascii="Lato" w:hAnsi="Lato"/>
          <w:b/>
          <w:i w:val="0"/>
          <w:color w:val="333333"/>
          <w:sz w:val="22"/>
          <w:u w:val="none"/>
        </w:rPr>
        <w:t>Mechanische Torsionwaagen &amp; Pendel:</w:t>
      </w:r>
      <w:r>
        <w:rPr>
          <w:rFonts w:ascii="Lato" w:hAnsi="Lato"/>
          <w:b w:val="0"/>
          <w:i w:val="0"/>
          <w:color w:val="333333"/>
          <w:sz w:val="22"/>
          <w:u w:val="none"/>
        </w:rPr>
        <w:t xml:space="preserve"> Zusätzliche Kräfte betragen ca. $10^{-4}$ bis $10^{-5}$ des Körpergewichts; gemessene relative Längen- oder Kraftänderungen (z. B. bei Rotationen und Vibrationen) liegen bei $\Delta Q/Q \approx 10^{-6}$ bis $10^{-7}$ (entspricht dem Verhältnis $u/c_2$).</w:t>
      </w:r>
    </w:p>
    <w:p>
      <w:pPr>
        <w:spacing w:before="20" w:after="20"/>
        <w:ind w:left="1008" w:hanging="288"/>
      </w:pPr>
      <w:r>
        <w:rPr>
          <w:rFonts w:ascii="Lato" w:hAnsi="Lato"/>
          <w:color w:val="FFC000"/>
          <w:sz w:val="22"/>
        </w:rPr>
        <w:t xml:space="preserve">◦  </w:t>
      </w:r>
      <w:r>
        <w:rPr>
          <w:rFonts w:ascii="Lato" w:hAnsi="Lato"/>
          <w:b/>
          <w:i w:val="0"/>
          <w:color w:val="333333"/>
          <w:sz w:val="22"/>
          <w:u w:val="none"/>
        </w:rPr>
        <w:t>Elektrische Widerstände (Wheatstone-Brücke):</w:t>
      </w:r>
      <w:r>
        <w:rPr>
          <w:rFonts w:ascii="Lato" w:hAnsi="Lato"/>
          <w:b w:val="0"/>
          <w:i w:val="0"/>
          <w:color w:val="333333"/>
          <w:sz w:val="22"/>
          <w:u w:val="none"/>
        </w:rPr>
        <w:t xml:space="preserve"> Relative Widerstandsänderungen ($\Delta R/R$) im Bereich von $10^{-6}$ bis $10^{-7}$ (6. bis 7. signifikante Stelle, bei speziellen Metall-Film-Widerständen mit hohem Temperaturkoeffizienten).</w:t>
      </w:r>
    </w:p>
    <w:p>
      <w:pPr>
        <w:spacing w:before="20" w:after="20"/>
        <w:ind w:left="1008" w:hanging="288"/>
      </w:pPr>
      <w:r>
        <w:rPr>
          <w:rFonts w:ascii="Lato" w:hAnsi="Lato"/>
          <w:color w:val="FFC000"/>
          <w:sz w:val="22"/>
        </w:rPr>
        <w:t xml:space="preserve">◦  </w:t>
      </w:r>
      <w:r>
        <w:rPr>
          <w:rFonts w:ascii="Lato" w:hAnsi="Lato"/>
          <w:b/>
          <w:i w:val="0"/>
          <w:color w:val="333333"/>
          <w:sz w:val="22"/>
          <w:u w:val="none"/>
        </w:rPr>
        <w:t>Photozellen &amp; Thermometer (Beckmann):</w:t>
      </w:r>
      <w:r>
        <w:rPr>
          <w:rFonts w:ascii="Lato" w:hAnsi="Lato"/>
          <w:b w:val="0"/>
          <w:i w:val="0"/>
          <w:color w:val="333333"/>
          <w:sz w:val="22"/>
          <w:u w:val="none"/>
        </w:rPr>
        <w:t xml:space="preserve"> Fractional Changes im Bereich von 1 bis 10 ppm ($10^{-6}$ bis $10^{-7}$).</w:t>
      </w:r>
    </w:p>
    <w:p>
      <w:pPr>
        <w:spacing w:before="20" w:after="20"/>
        <w:ind w:left="1008" w:hanging="288"/>
      </w:pPr>
      <w:r>
        <w:rPr>
          <w:rFonts w:ascii="Lato" w:hAnsi="Lato"/>
          <w:color w:val="FFC000"/>
          <w:sz w:val="22"/>
        </w:rPr>
        <w:t xml:space="preserve">◦  </w:t>
      </w:r>
      <w:r>
        <w:rPr>
          <w:rFonts w:ascii="Lato" w:hAnsi="Lato"/>
          <w:b/>
          <w:i w:val="0"/>
          <w:color w:val="333333"/>
          <w:sz w:val="22"/>
          <w:u w:val="none"/>
        </w:rPr>
        <w:t>Dichte- und Viskositätsänderungen (z. B. Wasser, flüssiger Stickstoff):</w:t>
      </w:r>
      <w:r>
        <w:rPr>
          <w:rFonts w:ascii="Lato" w:hAnsi="Lato"/>
          <w:b w:val="0"/>
          <w:i w:val="0"/>
          <w:color w:val="333333"/>
          <w:sz w:val="22"/>
          <w:u w:val="none"/>
        </w:rPr>
        <w:t xml:space="preserve"> Kurzzeitige Viskositäts- und Dichteänderungen im Bereich von bis zu 3 % bzw. $\Delta \rho/\rho \sim 10^{-5}$ (ppm-Bereich).</w:t>
      </w:r>
    </w:p>
    <w:p>
      <w:pPr>
        <w:spacing w:before="20" w:after="20"/>
        <w:ind w:left="576" w:hanging="288"/>
      </w:pPr>
      <w:r>
        <w:rPr>
          <w:rFonts w:ascii="Lato" w:hAnsi="Lato"/>
          <w:color w:val="FFC000"/>
          <w:sz w:val="22"/>
        </w:rPr>
        <w:t xml:space="preserve">•  </w:t>
      </w:r>
      <w:r>
        <w:rPr>
          <w:rFonts w:ascii="Lato" w:hAnsi="Lato"/>
          <w:b/>
          <w:i w:val="0"/>
          <w:color w:val="333333"/>
          <w:sz w:val="22"/>
          <w:u w:val="none"/>
        </w:rPr>
        <w:t>Astronomische und Kosmische Quellen:</w:t>
      </w:r>
    </w:p>
    <w:p>
      <w:pPr>
        <w:spacing w:before="20" w:after="20"/>
        <w:ind w:left="1008" w:hanging="288"/>
      </w:pPr>
      <w:r>
        <w:rPr>
          <w:rFonts w:ascii="Lato" w:hAnsi="Lato"/>
          <w:color w:val="FFC000"/>
          <w:sz w:val="22"/>
        </w:rPr>
        <w:t xml:space="preserve">◦  </w:t>
      </w:r>
      <w:r>
        <w:rPr>
          <w:rFonts w:ascii="Lato" w:hAnsi="Lato"/>
          <w:b w:val="0"/>
          <w:i w:val="0"/>
          <w:color w:val="333333"/>
          <w:sz w:val="22"/>
          <w:u w:val="none"/>
        </w:rPr>
        <w:t>Sternbeobachtungen (z. B. $\alpha\,\text{Boo}$, $\alpha\,\text{Leo}$, $\eta\,\text{Cas}$, Cyg X-1) zeigen Ablenkungen an Torsionwaagen und Widerstandssonden von $\Delta\varphi \approx 2^\circ$ bis $9^\circ$.</w:t>
      </w:r>
    </w:p>
    <w:p>
      <w:pPr>
        <w:spacing w:before="20" w:after="20"/>
        <w:ind w:left="1008" w:hanging="288"/>
      </w:pPr>
      <w:r>
        <w:rPr>
          <w:rFonts w:ascii="Lato" w:hAnsi="Lato"/>
          <w:color w:val="FFC000"/>
          <w:sz w:val="22"/>
        </w:rPr>
        <w:t xml:space="preserve">◦  </w:t>
      </w:r>
      <w:r>
        <w:rPr>
          <w:rFonts w:ascii="Lato" w:hAnsi="Lato"/>
          <w:b w:val="0"/>
          <w:i w:val="0"/>
          <w:color w:val="333333"/>
          <w:sz w:val="22"/>
          <w:u w:val="none"/>
        </w:rPr>
        <w:t>Die Entdeckung dreier „zeitlicher Bilder“ (vergangene, gegenwärtige und zukünftige Position von Sternen) stützt die Annahme einer Signalübertragung mit unendlicher oder sehr hoher Signalgeschwindigkeit ($c_3 \gg c_1$), die auf Instantaneität von Kausalitätsstrukturen hinweist.</w:t>
      </w:r>
    </w:p>
    <w:p>
      <w:pPr>
        <w:spacing w:before="20" w:after="20"/>
        <w:ind w:left="576" w:hanging="288"/>
      </w:pPr>
      <w:r>
        <w:rPr>
          <w:rFonts w:ascii="Lato" w:hAnsi="Lato"/>
          <w:color w:val="FFC000"/>
          <w:sz w:val="22"/>
        </w:rPr>
        <w:t xml:space="preserve">•  </w:t>
      </w:r>
      <w:r>
        <w:rPr>
          <w:rFonts w:ascii="Lato" w:hAnsi="Lato"/>
          <w:b/>
          <w:i w:val="0"/>
          <w:color w:val="333333"/>
          <w:sz w:val="22"/>
          <w:u w:val="none"/>
        </w:rPr>
        <w:t>Tages- und Jahreszeitliche Modulationen (Dichte des Zeitflusses):</w:t>
      </w:r>
    </w:p>
    <w:p>
      <w:pPr>
        <w:spacing w:before="20" w:after="20"/>
        <w:ind w:left="1008" w:hanging="288"/>
      </w:pPr>
      <w:r>
        <w:rPr>
          <w:rFonts w:ascii="Lato" w:hAnsi="Lato"/>
          <w:color w:val="FFC000"/>
          <w:sz w:val="22"/>
        </w:rPr>
        <w:t xml:space="preserve">◦  </w:t>
      </w:r>
      <w:r>
        <w:rPr>
          <w:rFonts w:ascii="Lato" w:hAnsi="Lato"/>
          <w:b w:val="0"/>
          <w:i w:val="0"/>
          <w:color w:val="333333"/>
          <w:sz w:val="22"/>
          <w:u w:val="none"/>
        </w:rPr>
        <w:t>Die „Intensität“ oder „Dichte“ des Zeitflusses unterliegt starken saisonalen Schwankungen (stärker in Spätherbst und Winter, schwächer im Sommer) sowie diurnalen Sprüngen (z. B. abruptes Verhalten um Mitternacht oder bei Sonnenuntergang/Sonnenfinsternissen).</w:t>
      </w:r>
    </w:p>
    <w:p>
      <w:pPr>
        <w:pStyle w:val="Heading1"/>
      </w:pPr>
      <w:r>
        <w:rPr>
          <w:rFonts w:ascii="Montserrat" w:hAnsi="Montserrat"/>
          <w:b/>
          <w:color w:val="203965"/>
          <w:sz w:val="40"/>
        </w:rPr>
        <w:t>3. Vorschläge für die Beantwortung und Integration</w:t>
      </w:r>
    </w:p>
    <w:p>
      <w:pPr>
        <w:spacing w:before="0" w:after="120"/>
        <w:pBdr>
          <w:bottom w:val="single" w:sz="6" w:space="1" w:color="FFC000"/>
        </w:pBdr>
      </w:pPr>
    </w:p>
    <w:p>
      <w:pPr>
        <w:spacing w:after="120"/>
      </w:pPr>
      <w:r>
        <w:rPr>
          <w:rFonts w:ascii="Lato" w:hAnsi="Lato"/>
          <w:b w:val="0"/>
          <w:i w:val="0"/>
          <w:color w:val="333333"/>
          <w:sz w:val="22"/>
          <w:u w:val="none"/>
        </w:rPr>
        <w:t>Für die Auswertung am modernen Phasendetektor ergeben sich aus den historischen Daten konkrete Anforderungen und Ableitungen:</w:t>
      </w:r>
    </w:p>
    <w:p>
      <w:pPr>
        <w:spacing w:before="20" w:after="20"/>
        <w:ind w:left="576" w:hanging="360"/>
      </w:pPr>
      <w:r>
        <w:rPr>
          <w:rFonts w:ascii="Lato" w:hAnsi="Lato"/>
          <w:b/>
          <w:color w:val="FFC000"/>
          <w:sz w:val="22"/>
        </w:rPr>
        <w:t xml:space="preserve">1.  </w:t>
      </w:r>
      <w:r>
        <w:rPr>
          <w:rFonts w:ascii="Lato" w:hAnsi="Lato"/>
          <w:b/>
          <w:i w:val="0"/>
          <w:color w:val="333333"/>
          <w:sz w:val="22"/>
          <w:u w:val="none"/>
        </w:rPr>
        <w:t>Größenordnung der Messempfindlichkeit:</w:t>
      </w:r>
    </w:p>
    <w:p>
      <w:pPr>
        <w:spacing w:after="120"/>
      </w:pPr>
      <w:r>
        <w:rPr>
          <w:rFonts w:ascii="Lato" w:hAnsi="Lato"/>
          <w:b w:val="0"/>
          <w:i w:val="0"/>
          <w:color w:val="333333"/>
          <w:sz w:val="22"/>
          <w:u w:val="none"/>
        </w:rPr>
        <w:t>Da die erwarteten Effekte von Kozyrev-artigen Zeitflussänderungen im Bereich von $10^{-6}$ bis $10^{-8}$ (relative Signaländerungen) liegen, muss der Phasendetektor eine Auflösung im Pikosekunden- bis Sub-Pikosekundenbereich bei langen Integrationszeiten erreichen, um diese Signaturen vom thermischen Rauschen zu trennen.</w:t>
      </w:r>
    </w:p>
    <w:p>
      <w:pPr>
        <w:spacing w:before="20" w:after="20"/>
        <w:ind w:left="576" w:hanging="360"/>
      </w:pPr>
      <w:r>
        <w:rPr>
          <w:rFonts w:ascii="Lato" w:hAnsi="Lato"/>
          <w:b/>
          <w:color w:val="FFC000"/>
          <w:sz w:val="22"/>
        </w:rPr>
        <w:t xml:space="preserve">1.  </w:t>
      </w:r>
      <w:r>
        <w:rPr>
          <w:rFonts w:ascii="Lato" w:hAnsi="Lato"/>
          <w:b/>
          <w:i w:val="0"/>
          <w:color w:val="333333"/>
          <w:sz w:val="22"/>
          <w:u w:val="none"/>
        </w:rPr>
        <w:t>Berücksichtigung von Umwelt- und saisonalen Zyklen:</w:t>
      </w:r>
    </w:p>
    <w:p>
      <w:pPr>
        <w:spacing w:after="120"/>
      </w:pPr>
      <w:r>
        <w:rPr>
          <w:rFonts w:ascii="Lato" w:hAnsi="Lato"/>
          <w:b w:val="0"/>
          <w:i w:val="0"/>
          <w:color w:val="333333"/>
          <w:sz w:val="22"/>
          <w:u w:val="none"/>
        </w:rPr>
        <w:t>Analysen von Zeitreihen dürfen nicht statisch erfolgen. Diurnale und saisonale Driftmuster (verbunden mit Temperatur, Luftdruck und biologischen/meteorologischen Hintergrundprozessen wie Pflanzenaktivität) müssen als physikalischer Hintergrund (“Background Noise” nach Yeganova) modelliert werden.</w:t>
      </w:r>
    </w:p>
    <w:p>
      <w:pPr>
        <w:spacing w:before="20" w:after="20"/>
        <w:ind w:left="576" w:hanging="360"/>
      </w:pPr>
      <w:r>
        <w:rPr>
          <w:rFonts w:ascii="Lato" w:hAnsi="Lato"/>
          <w:b/>
          <w:color w:val="FFC000"/>
          <w:sz w:val="22"/>
        </w:rPr>
        <w:t xml:space="preserve">1.  </w:t>
      </w:r>
      <w:r>
        <w:rPr>
          <w:rFonts w:ascii="Lato" w:hAnsi="Lato"/>
          <w:b/>
          <w:i w:val="0"/>
          <w:color w:val="333333"/>
          <w:sz w:val="22"/>
          <w:u w:val="none"/>
        </w:rPr>
        <w:t>Kausale Asymmetrie und Paritätsverletzung:</w:t>
      </w:r>
    </w:p>
    <w:p>
      <w:pPr>
        <w:spacing w:after="120"/>
      </w:pPr>
      <w:r>
        <w:rPr>
          <w:rFonts w:ascii="Lato" w:hAnsi="Lato"/>
          <w:b w:val="0"/>
          <w:i w:val="0"/>
          <w:color w:val="333333"/>
          <w:sz w:val="22"/>
          <w:u w:val="none"/>
        </w:rPr>
        <w:t>Da Kozyrev-Wechselwirkungen nicht invariant unter Raum- und Zeitinversion sind, sollten differentielle Messaufbauten (z. B. symmetrische Brücken oder Antiparallel-Sensorik) eingesetzt werden, um paritätsverletzende oder richtungsabhängige Effekte vom gewöhnlichen Common-Mode-Rauschen zu trennen.</w:t>
      </w:r>
    </w:p>
    <w:p>
      <w:pPr>
        <w:pStyle w:val="Heading1"/>
      </w:pPr>
      <w:r>
        <w:rPr>
          <w:rFonts w:ascii="Montserrat" w:hAnsi="Montserrat"/>
          <w:b/>
          <w:color w:val="203965"/>
          <w:sz w:val="40"/>
        </w:rPr>
        <w:t>4. Fazit und nächste Schritte</w:t>
      </w:r>
    </w:p>
    <w:p>
      <w:pPr>
        <w:spacing w:before="0" w:after="120"/>
        <w:pBdr>
          <w:bottom w:val="single" w:sz="6" w:space="1" w:color="FFC000"/>
        </w:pBdr>
      </w:pPr>
    </w:p>
    <w:p>
      <w:pPr>
        <w:spacing w:before="20" w:after="20"/>
        <w:ind w:left="576" w:hanging="360"/>
      </w:pPr>
      <w:r>
        <w:rPr>
          <w:rFonts w:ascii="Lato" w:hAnsi="Lato"/>
          <w:b/>
          <w:color w:val="FFC000"/>
          <w:sz w:val="22"/>
        </w:rPr>
        <w:t xml:space="preserve">1.  </w:t>
      </w:r>
      <w:r>
        <w:rPr>
          <w:rFonts w:ascii="Lato" w:hAnsi="Lato"/>
          <w:b/>
          <w:i w:val="0"/>
          <w:color w:val="333333"/>
          <w:sz w:val="22"/>
          <w:u w:val="none"/>
        </w:rPr>
        <w:t>Erweiterung des Auswerte-Algorithmus:</w:t>
      </w:r>
      <w:r>
        <w:rPr>
          <w:rFonts w:ascii="Lato" w:hAnsi="Lato"/>
          <w:b w:val="0"/>
          <w:i w:val="0"/>
          <w:color w:val="333333"/>
          <w:sz w:val="22"/>
          <w:u w:val="none"/>
        </w:rPr>
        <w:t xml:space="preserve"> Implementierung von FFT- und Wavelet-Filtern zur gezielten Suche nach den in Kozyrevs Beobachtungen genannten Periodizitäten (z. B. diurnale Zyklen, solare/stellare Transits und langperiodische Chrips).</w:t>
      </w:r>
    </w:p>
    <w:p>
      <w:pPr>
        <w:spacing w:before="20" w:after="20"/>
        <w:ind w:left="576" w:hanging="360"/>
      </w:pPr>
      <w:r>
        <w:rPr>
          <w:rFonts w:ascii="Lato" w:hAnsi="Lato"/>
          <w:b/>
          <w:color w:val="FFC000"/>
          <w:sz w:val="22"/>
        </w:rPr>
        <w:t xml:space="preserve">2.  </w:t>
      </w:r>
      <w:r>
        <w:rPr>
          <w:rFonts w:ascii="Lato" w:hAnsi="Lato"/>
          <w:b/>
          <w:i w:val="0"/>
          <w:color w:val="333333"/>
          <w:sz w:val="22"/>
          <w:u w:val="none"/>
        </w:rPr>
        <w:t>Kombination mit Umwelt-Sensordaten:</w:t>
      </w:r>
      <w:r>
        <w:rPr>
          <w:rFonts w:ascii="Lato" w:hAnsi="Lato"/>
          <w:b w:val="0"/>
          <w:i w:val="0"/>
          <w:color w:val="333333"/>
          <w:sz w:val="22"/>
          <w:u w:val="none"/>
        </w:rPr>
        <w:t xml:space="preserve"> Parallele Aufzeichnung von Temperatur, Barometerstand, magnetischen Feldern und Erdrotationseffekten zur Eliminierung klassischer Störfaktoren, wie sie von Kozyrevs Kritikern (Faller, Quinn/Picard) als Artefakte angeführt wurden.</w:t>
      </w:r>
    </w:p>
    <w:p>
      <w:pPr>
        <w:spacing w:before="20" w:after="20"/>
        <w:ind w:left="576" w:hanging="360"/>
      </w:pPr>
      <w:r>
        <w:rPr>
          <w:rFonts w:ascii="Lato" w:hAnsi="Lato"/>
          <w:b/>
          <w:color w:val="FFC000"/>
          <w:sz w:val="22"/>
        </w:rPr>
        <w:t xml:space="preserve">3.  </w:t>
      </w:r>
      <w:r>
        <w:rPr>
          <w:rFonts w:ascii="Lato" w:hAnsi="Lato"/>
          <w:b/>
          <w:i w:val="0"/>
          <w:color w:val="333333"/>
          <w:sz w:val="22"/>
          <w:u w:val="none"/>
        </w:rPr>
        <w:t>Dokumentations-Update:</w:t>
      </w:r>
      <w:r>
        <w:rPr>
          <w:rFonts w:ascii="Lato" w:hAnsi="Lato"/>
          <w:b w:val="0"/>
          <w:i w:val="0"/>
          <w:color w:val="333333"/>
          <w:sz w:val="22"/>
          <w:u w:val="none"/>
        </w:rPr>
        <w:t xml:space="preserve"> Übernahme der obigen Kennwerte in den zentralen Fragenkatalog unter dem Punkt </w:t>
      </w:r>
      <w:r>
        <w:rPr>
          <w:rFonts w:ascii="Lato" w:hAnsi="Lato"/>
          <w:b/>
          <w:i w:val="0"/>
          <w:color w:val="333333"/>
          <w:sz w:val="22"/>
          <w:u w:val="none"/>
        </w:rPr>
        <w:t>[Physik 6]</w:t>
      </w:r>
      <w:r>
        <w:rPr>
          <w:rFonts w:ascii="Lato" w:hAnsi="Lato"/>
          <w:b w:val="0"/>
          <w:i w:val="0"/>
          <w:color w:val="333333"/>
          <w:sz w:val="22"/>
          <w:u w:val="none"/>
        </w:rPr>
        <w:t>, um als Brücke zwischen den historischen Kozyrev-Messungen und der modernen digitalen Phasenmessung zu dienen.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