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ontserrat" w:hAnsi="Montserrat"/>
          <w:b/>
          <w:color w:val="203965"/>
          <w:sz w:val="56"/>
        </w:rPr>
        <w:t>Analyse zu Physik 6: Kozyrevs Konzept der Zeit und Implikationen für den Phasendetektor</w:t>
      </w:r>
    </w:p>
    <w:p>
      <w:pPr>
        <w:spacing w:before="0" w:after="120"/>
        <w:pBdr>
          <w:bottom w:val="single" w:sz="6" w:space="1" w:color="FFC000"/>
        </w:pBdr>
      </w:pPr>
    </w:p>
    <w:p>
      <w:pPr>
        <w:pStyle w:val="Heading1"/>
      </w:pPr>
      <w:r>
        <w:rPr>
          <w:rFonts w:ascii="Montserrat" w:hAnsi="Montserrat"/>
          <w:b/>
          <w:color w:val="203965"/>
          <w:sz w:val="40"/>
        </w:rPr>
        <w:t>1. Einleitung und Zielsetzung</w:t>
      </w:r>
    </w:p>
    <w:p>
      <w:pPr>
        <w:spacing w:before="0" w:after="120"/>
        <w:pBdr>
          <w:bottom w:val="single" w:sz="6" w:space="1" w:color="FFC000"/>
        </w:pBdr>
      </w:pPr>
    </w:p>
    <w:p>
      <w:pPr>
        <w:spacing w:after="120"/>
      </w:pPr>
      <w:r>
        <w:rPr>
          <w:rFonts w:ascii="Lato" w:hAnsi="Lato"/>
          <w:b w:val="0"/>
          <w:i w:val="0"/>
          <w:color w:val="333333"/>
          <w:sz w:val="22"/>
          <w:u w:val="none"/>
        </w:rPr>
        <w:t xml:space="preserve">Diese Analyse wurde im Rahmen der Teamarbeit zwischen dem menschlichen Projektleiter und der KI-Gruppe für das Projekt </w:t>
      </w:r>
      <w:r>
        <w:rPr>
          <w:rFonts w:ascii="Lato" w:hAnsi="Lato"/>
          <w:b/>
          <w:i w:val="0"/>
          <w:color w:val="333333"/>
          <w:sz w:val="22"/>
          <w:u w:val="none"/>
        </w:rPr>
        <w:t>Phasendetektor</w:t>
      </w:r>
      <w:r>
        <w:rPr>
          <w:rFonts w:ascii="Lato" w:hAnsi="Lato"/>
          <w:b w:val="0"/>
          <w:i w:val="0"/>
          <w:color w:val="333333"/>
          <w:sz w:val="22"/>
          <w:u w:val="none"/>
        </w:rPr>
        <w:t xml:space="preserve"> (Untersuchung von Raumzeitdynamiken) erarbeitet. Der Fokus liegt auf der Bearbeitung des Punkts </w:t>
      </w:r>
      <w:r>
        <w:rPr>
          <w:rFonts w:ascii="Lato" w:hAnsi="Lato"/>
          <w:b/>
          <w:i w:val="0"/>
          <w:color w:val="333333"/>
          <w:sz w:val="22"/>
          <w:u w:val="none"/>
        </w:rPr>
        <w:t>„Physik 6“</w:t>
      </w:r>
      <w:r>
        <w:rPr>
          <w:rFonts w:ascii="Lato" w:hAnsi="Lato"/>
          <w:b w:val="0"/>
          <w:i w:val="0"/>
          <w:color w:val="333333"/>
          <w:sz w:val="22"/>
          <w:u w:val="none"/>
        </w:rPr>
        <w:t xml:space="preserve"> des zentralen Fragenkatalogs.</w:t>
      </w:r>
    </w:p>
    <w:p>
      <w:pPr>
        <w:pStyle w:val="Heading3"/>
      </w:pPr>
      <w:r>
        <w:rPr>
          <w:rFonts w:ascii="Lato" w:hAnsi="Lato"/>
          <w:b/>
          <w:color w:val="44546A"/>
          <w:sz w:val="26"/>
        </w:rPr>
        <w:t>Aufgabenstellung &amp; Zielsetzung</w:t>
      </w:r>
    </w:p>
    <w:p>
      <w:pPr>
        <w:spacing w:after="120"/>
      </w:pPr>
      <w:r>
        <w:rPr>
          <w:rFonts w:ascii="Lato" w:hAnsi="Lato"/>
          <w:b w:val="0"/>
          <w:i w:val="0"/>
          <w:color w:val="333333"/>
          <w:sz w:val="22"/>
          <w:u w:val="none"/>
        </w:rPr>
        <w:t>Ziel dieses Beitrags ist es, aus dem beigefügten Grundlagen- und Review-Dokument zu N.A. Kozyrevs Konzept der Zeit (</w:t>
      </w:r>
      <w:r>
        <w:rPr>
          <w:rFonts w:ascii="Lato" w:hAnsi="Lato"/>
          <w:b w:val="0"/>
          <w:i/>
          <w:color w:val="333333"/>
          <w:sz w:val="22"/>
          <w:u w:val="none"/>
        </w:rPr>
        <w:t>"A Substantial Interpretation of N.A. Kozyrev’s Conception of Time"</w:t>
      </w:r>
      <w:r>
        <w:rPr>
          <w:rFonts w:ascii="Lato" w:hAnsi="Lato"/>
          <w:b w:val="0"/>
          <w:i w:val="0"/>
          <w:color w:val="333333"/>
          <w:sz w:val="22"/>
          <w:u w:val="none"/>
        </w:rPr>
        <w:t>, A. P. Levich) konkrete physikalische Erkenntnisse, Effekte und Messparameter abzuleiten. Diese sollen Aufschluss darüber geben, ob und wie natürlich vorkommende relative Zeitflussänderungen oder materielle Reaktionen auf kosmische und terrestrische Prozesse über den Phasendetektor quantifiziert werden können.</w:t>
      </w:r>
    </w:p>
    <w:p>
      <w:pPr>
        <w:pStyle w:val="Heading1"/>
      </w:pPr>
      <w:r>
        <w:rPr>
          <w:rFonts w:ascii="Montserrat" w:hAnsi="Montserrat"/>
          <w:b/>
          <w:color w:val="203965"/>
          <w:sz w:val="40"/>
        </w:rPr>
        <w:t>2. Systematische Analyse der Kozyrev-Dokumentation (Physik 6)</w:t>
      </w:r>
    </w:p>
    <w:p>
      <w:pPr>
        <w:spacing w:before="0" w:after="120"/>
        <w:pBdr>
          <w:bottom w:val="single" w:sz="6" w:space="1" w:color="FFC000"/>
        </w:pBdr>
      </w:pPr>
    </w:p>
    <w:p>
      <w:pPr>
        <w:spacing w:after="120"/>
      </w:pPr>
      <w:r>
        <w:rPr>
          <w:rFonts w:ascii="Lato" w:hAnsi="Lato"/>
          <w:b w:val="0"/>
          <w:i w:val="0"/>
          <w:color w:val="333333"/>
          <w:sz w:val="22"/>
          <w:u w:val="none"/>
        </w:rPr>
        <w:t>Basierend auf der detaillierten Auswertung des 33-seitigen Review-Dokuments zu N.A. Kozyrevs Arbeiten lassen sich folgende Kernpunkte für die Konzeption und Interpretation von Zeitflussänderungen im Rahmen des Phasendetektors festhalten:</w:t>
      </w:r>
    </w:p>
    <w:p>
      <w:pPr>
        <w:spacing w:before="20" w:after="20"/>
        <w:ind w:left="576" w:hanging="360"/>
      </w:pPr>
      <w:r>
        <w:rPr>
          <w:rFonts w:ascii="Lato" w:hAnsi="Lato"/>
          <w:b/>
          <w:color w:val="FFC000"/>
          <w:sz w:val="22"/>
        </w:rPr>
        <w:t xml:space="preserve">1.  </w:t>
      </w:r>
      <w:r>
        <w:rPr>
          <w:rFonts w:ascii="Lato" w:hAnsi="Lato"/>
          <w:b/>
          <w:i w:val="0"/>
          <w:color w:val="333333"/>
          <w:sz w:val="22"/>
          <w:u w:val="none"/>
        </w:rPr>
        <w:t>Substantielle Natur des Zeitflusses und kausale Mechanik:</w:t>
      </w:r>
    </w:p>
    <w:p>
      <w:pPr>
        <w:spacing w:before="20" w:after="20"/>
        <w:ind w:left="1008" w:hanging="288"/>
      </w:pPr>
      <w:r>
        <w:rPr>
          <w:rFonts w:ascii="Lato" w:hAnsi="Lato"/>
          <w:color w:val="FFC000"/>
          <w:sz w:val="22"/>
        </w:rPr>
        <w:t xml:space="preserve">◦  </w:t>
      </w:r>
      <w:r>
        <w:rPr>
          <w:rFonts w:ascii="Lato" w:hAnsi="Lato"/>
          <w:b w:val="0"/>
          <w:i w:val="0"/>
          <w:color w:val="333333"/>
          <w:sz w:val="22"/>
          <w:u w:val="none"/>
        </w:rPr>
        <w:t>Kozyrev definierte Zeit nicht als bloße Koordinatenvariable, sondern als ein aktives, physikalisches Agens (einen „mighty flow“), das Materie durchdringt, Energie und Drehimpuls übertragen kann, jedoch keinen linearen Impuls transportiert.</w:t>
      </w:r>
    </w:p>
    <w:p>
      <w:pPr>
        <w:spacing w:before="20" w:after="20"/>
        <w:ind w:left="1008" w:hanging="288"/>
      </w:pPr>
      <w:r>
        <w:rPr>
          <w:rFonts w:ascii="Lato" w:hAnsi="Lato"/>
          <w:color w:val="FFC000"/>
          <w:sz w:val="22"/>
        </w:rPr>
        <w:t xml:space="preserve">◦  </w:t>
      </w:r>
      <w:r>
        <w:rPr>
          <w:rFonts w:ascii="Lato" w:hAnsi="Lato"/>
          <w:b w:val="0"/>
          <w:i w:val="0"/>
          <w:color w:val="333333"/>
          <w:sz w:val="22"/>
          <w:u w:val="none"/>
        </w:rPr>
        <w:t>Irreversible Prozesse (Dissipation, Phasenübergänge, thermische Zyklen, chemische Reaktionen, biologischer Stoffwechsel) wirken als Quellen oder Senken dieses Flusses.</w:t>
      </w:r>
    </w:p>
    <w:p>
      <w:pPr>
        <w:spacing w:before="20" w:after="20"/>
        <w:ind w:left="576" w:hanging="360"/>
      </w:pPr>
      <w:r>
        <w:rPr>
          <w:rFonts w:ascii="Lato" w:hAnsi="Lato"/>
          <w:b/>
          <w:color w:val="FFC000"/>
          <w:sz w:val="22"/>
        </w:rPr>
        <w:t xml:space="preserve">1.  </w:t>
      </w:r>
      <w:r>
        <w:rPr>
          <w:rFonts w:ascii="Lato" w:hAnsi="Lato"/>
          <w:b/>
          <w:i w:val="0"/>
          <w:color w:val="333333"/>
          <w:sz w:val="22"/>
          <w:u w:val="none"/>
        </w:rPr>
        <w:t>Detektortypen und Effektskalen: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Kozyrev und seine Nachfolger (z. B. Nasonov, Danchakov, Lavrentyev) nutzten Torsionswaagen, empfindliche Metallfilm-Resonanzbrücken, Thermoelemente, Widerstandsthermometer (Beckmann-Thermometer) und optische Photozellen.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 xml:space="preserve">Die gemessenen relativen Signaländerungen (z. B. Widerstandsänderungen oder Dichtevariationen) liegen typischerweise im Bereich von </w:t>
      </w:r>
      <w:r>
        <w:rPr>
          <w:rFonts w:ascii="Lato" w:hAnsi="Lato"/>
          <w:b/>
          <w:i w:val="0"/>
          <w:color w:val="333333"/>
          <w:sz w:val="22"/>
          <w:u w:val="none"/>
        </w:rPr>
        <w:t>$10^{-6}$ bis $10^{-7}$</w:t>
      </w:r>
      <w:r>
        <w:rPr>
          <w:rFonts w:ascii="Lato" w:hAnsi="Lato"/>
          <w:b w:val="0"/>
          <w:i w:val="0"/>
          <w:color w:val="333333"/>
          <w:sz w:val="22"/>
          <w:u w:val="none"/>
        </w:rPr>
        <w:t xml:space="preserve"> (bzw. 1 bis 10 ppm), was der Größenordnung entspricht, die auch bei hochpräzisen elektronischen Phasen- und Laufzeitmessungen im Fokus steht.</w:t>
      </w:r>
    </w:p>
    <w:p>
      <w:pPr>
        <w:spacing w:before="20" w:after="20"/>
        <w:ind w:left="576" w:hanging="360"/>
      </w:pPr>
      <w:r>
        <w:rPr>
          <w:rFonts w:ascii="Lato" w:hAnsi="Lato"/>
          <w:b/>
          <w:color w:val="FFC000"/>
          <w:sz w:val="22"/>
        </w:rPr>
        <w:t xml:space="preserve">1.  </w:t>
      </w:r>
      <w:r>
        <w:rPr>
          <w:rFonts w:ascii="Lato" w:hAnsi="Lato"/>
          <w:b/>
          <w:i w:val="0"/>
          <w:color w:val="333333"/>
          <w:sz w:val="22"/>
          <w:u w:val="none"/>
        </w:rPr>
        <w:t>Astronomische und kosmische Korrelationen: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 xml:space="preserve">Ein zentrales Resultat Kozyrevs und der späteren Novosibirsker Gruppe (Lavrentyev et al.) ist der Nachweis, dass Resonatoren und Widerstandssonden nicht nur auf das </w:t>
      </w:r>
      <w:r>
        <w:rPr>
          <w:rFonts w:ascii="Lato" w:hAnsi="Lato"/>
          <w:b w:val="0"/>
          <w:i/>
          <w:color w:val="333333"/>
          <w:sz w:val="22"/>
          <w:u w:val="none"/>
        </w:rPr>
        <w:t>visuelle</w:t>
      </w:r>
      <w:r>
        <w:rPr>
          <w:rFonts w:ascii="Lato" w:hAnsi="Lato"/>
          <w:b w:val="0"/>
          <w:i w:val="0"/>
          <w:color w:val="333333"/>
          <w:sz w:val="22"/>
          <w:u w:val="none"/>
        </w:rPr>
        <w:t xml:space="preserve"> Licht von Sternen (unter Berücksichtigung der Lichtlaufzeit), sondern auch auf die </w:t>
      </w:r>
      <w:r>
        <w:rPr>
          <w:rFonts w:ascii="Lato" w:hAnsi="Lato"/>
          <w:b/>
          <w:i w:val="0"/>
          <w:color w:val="333333"/>
          <w:sz w:val="22"/>
          <w:u w:val="none"/>
        </w:rPr>
        <w:t>wahre, gegenwärtige Position</w:t>
      </w:r>
      <w:r>
        <w:rPr>
          <w:rFonts w:ascii="Lato" w:hAnsi="Lato"/>
          <w:b w:val="0"/>
          <w:i w:val="0"/>
          <w:color w:val="333333"/>
          <w:sz w:val="22"/>
          <w:u w:val="none"/>
        </w:rPr>
        <w:t xml:space="preserve"> von Himmelskörpern (z. B. Sonne, $\alpha$ Leo, Cyg X-1, Sternenhaufen) reagieren.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Dies wird als Indiz für Signalausbreitungen im Zeitfluss gewertet, die konventionelle elektromagnetische Signalgeschwindigkeiten überschreiten ($c_3 \gg c_1$).</w:t>
      </w:r>
    </w:p>
    <w:p>
      <w:pPr>
        <w:spacing w:before="20" w:after="20"/>
        <w:ind w:left="576" w:hanging="360"/>
      </w:pPr>
      <w:r>
        <w:rPr>
          <w:rFonts w:ascii="Lato" w:hAnsi="Lato"/>
          <w:b/>
          <w:color w:val="FFC000"/>
          <w:sz w:val="22"/>
        </w:rPr>
        <w:t xml:space="preserve">1.  </w:t>
      </w:r>
      <w:r>
        <w:rPr>
          <w:rFonts w:ascii="Lato" w:hAnsi="Lato"/>
          <w:b/>
          <w:i w:val="0"/>
          <w:color w:val="333333"/>
          <w:sz w:val="22"/>
          <w:u w:val="none"/>
        </w:rPr>
        <w:t>Umwelt- und Jahreszeitliche Modulationen („Zeit-Intensität“):</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 Experimente zeigen deutliche saisonale Schwankungen (z. B. hohe Sensitivität und Effekte im Spätherbst und Winter, während im Sommer Effekte oft erschwert sind). Dies wird auf globale, biologisch-geophysikalische Zyklen und die jahreszeitliche Dynamik des irdischen Bioms zurückgeführt, das als „Puffer“ oder Absorber für Zeitflussdichten dient.</w:t>
      </w:r>
    </w:p>
    <w:p>
      <w:pPr>
        <w:pStyle w:val="Heading1"/>
      </w:pPr>
      <w:r>
        <w:rPr>
          <w:rFonts w:ascii="Montserrat" w:hAnsi="Montserrat"/>
          <w:b/>
          <w:color w:val="203965"/>
          <w:sz w:val="40"/>
        </w:rPr>
        <w:t>3. Vorschläge zur Beantwortung von „Physik 6“ im Projektkontext</w:t>
      </w:r>
    </w:p>
    <w:p>
      <w:pPr>
        <w:spacing w:before="0" w:after="120"/>
        <w:pBdr>
          <w:bottom w:val="single" w:sz="6" w:space="1" w:color="FFC000"/>
        </w:pBdr>
      </w:pPr>
    </w:p>
    <w:p>
      <w:pPr>
        <w:spacing w:after="120"/>
      </w:pPr>
      <w:r>
        <w:rPr>
          <w:rFonts w:ascii="Lato" w:hAnsi="Lato"/>
          <w:b w:val="0"/>
          <w:i w:val="0"/>
          <w:color w:val="333333"/>
          <w:sz w:val="22"/>
          <w:u w:val="none"/>
        </w:rPr>
        <w:t xml:space="preserve">Für den aktuellen </w:t>
      </w:r>
      <w:r>
        <w:rPr>
          <w:rFonts w:ascii="Lato" w:hAnsi="Lato"/>
          <w:b/>
          <w:i w:val="0"/>
          <w:color w:val="333333"/>
          <w:sz w:val="22"/>
          <w:u w:val="none"/>
        </w:rPr>
        <w:t>Phasendetektor</w:t>
      </w:r>
      <w:r>
        <w:rPr>
          <w:rFonts w:ascii="Lato" w:hAnsi="Lato"/>
          <w:b w:val="0"/>
          <w:i w:val="0"/>
          <w:color w:val="333333"/>
          <w:sz w:val="22"/>
          <w:u w:val="none"/>
        </w:rPr>
        <w:t xml:space="preserve"> (elektronische Signallaufzeitmessung über eine 400 m Cat-6a-Verzögerungsleitung mit hochpräziser FPGA/XMC4700-Erfassung) lassen sich aus Kozyrevs Beobachtungen folgende konkrete Vorschläge und Transfer-Hypothesen ableiten:</w:t>
      </w:r>
    </w:p>
    <w:p>
      <w:pPr>
        <w:spacing w:before="20" w:after="20"/>
        <w:ind w:left="576" w:hanging="288"/>
      </w:pPr>
      <w:r>
        <w:rPr>
          <w:rFonts w:ascii="Lato" w:hAnsi="Lato"/>
          <w:color w:val="FFC000"/>
          <w:sz w:val="22"/>
        </w:rPr>
        <w:t xml:space="preserve">•  </w:t>
      </w:r>
      <w:r>
        <w:rPr>
          <w:rFonts w:ascii="Lato" w:hAnsi="Lato"/>
          <w:b/>
          <w:i w:val="0"/>
          <w:color w:val="333333"/>
          <w:sz w:val="22"/>
          <w:u w:val="none"/>
        </w:rPr>
        <w:t>Ersatz und Ergänzung thermischer Kompensation durch differentielle Sonden: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Kozyrev musste bei Widerstandsbrücken extremen Aufwand betreiben, um thermische Effekte von echten Zeitfluss-Emissionen (z. B. bei Aceton-Verdampfung oder Salzlösung) zu trennen. Für den Phasendetektor bedeutet dies: Jede Leitungsschwankung durch Temperatur muss durch symmetrische Common-Mode-Messungen oder thermisch gekoppelte Referenzleitungen (vgl. Qwen-Ansatz in Methodik 8) ausgeschlossen werden.</w:t>
      </w:r>
    </w:p>
    <w:p>
      <w:pPr>
        <w:spacing w:before="20" w:after="20"/>
        <w:ind w:left="576" w:hanging="288"/>
      </w:pPr>
      <w:r>
        <w:rPr>
          <w:rFonts w:ascii="Lato" w:hAnsi="Lato"/>
          <w:color w:val="FFC000"/>
          <w:sz w:val="22"/>
        </w:rPr>
        <w:t xml:space="preserve">•  </w:t>
      </w:r>
      <w:r>
        <w:rPr>
          <w:rFonts w:ascii="Lato" w:hAnsi="Lato"/>
          <w:b/>
          <w:i w:val="0"/>
          <w:color w:val="333333"/>
          <w:sz w:val="22"/>
          <w:u w:val="none"/>
        </w:rPr>
        <w:t>Ausnutzung von „Pre-Action“- und „Aftereffect“-Mustern: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Kozyrevs Beobachtung von Vorzeichenumkehrungen, „Schwänzen“ (</w:t>
      </w:r>
      <w:r>
        <w:rPr>
          <w:rFonts w:ascii="Lato" w:hAnsi="Lato"/>
          <w:b w:val="0"/>
          <w:i/>
          <w:color w:val="333333"/>
          <w:sz w:val="22"/>
          <w:u w:val="none"/>
        </w:rPr>
        <w:t>tails</w:t>
      </w:r>
      <w:r>
        <w:rPr>
          <w:rFonts w:ascii="Lato" w:hAnsi="Lato"/>
          <w:b w:val="0"/>
          <w:i w:val="0"/>
          <w:color w:val="333333"/>
          <w:sz w:val="22"/>
          <w:u w:val="none"/>
        </w:rPr>
        <w:t>, Vorläufersignale vor dem eigentlichen Prozessbeginn) und Relaxationszeiten ($t_0$ im Bereich von 10 bis 70 Sekunden, abhängig von der Materialdichte) sollte gezielt in der Zeitreihenanalyse der Phasendetektor-Rohdaten gesucht werden. Filter und Trigger sollten so ausgelegt werden, dass asymmetrische Relaxationskurven erkannt werden.</w:t>
      </w:r>
    </w:p>
    <w:p>
      <w:pPr>
        <w:spacing w:before="20" w:after="20"/>
        <w:ind w:left="576" w:hanging="288"/>
      </w:pPr>
      <w:r>
        <w:rPr>
          <w:rFonts w:ascii="Lato" w:hAnsi="Lato"/>
          <w:color w:val="FFC000"/>
          <w:sz w:val="22"/>
        </w:rPr>
        <w:t xml:space="preserve">•  </w:t>
      </w:r>
      <w:r>
        <w:rPr>
          <w:rFonts w:ascii="Lato" w:hAnsi="Lato"/>
          <w:b/>
          <w:i w:val="0"/>
          <w:color w:val="333333"/>
          <w:sz w:val="22"/>
          <w:u w:val="none"/>
        </w:rPr>
        <w:t>Richtungsabhängigkeit und Azimut-Anomalien: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 von Kozyrev dokumentierte Azimut-Abhängigkeit der Schwingungsenergie (z. B. Minima/Maxima bezüglich der Himmelsrichtungen bei rotierenden oder vibrierenden Systemen) legt nahe, die Ausrichtung des aufgewickelten Kabel-Resonators oder des Detektionsaufbaus im Raum systematisch zu variieren und mit astronomischen Koordinaten (Sternenhimmel-Scans) abzugleichen.</w:t>
      </w:r>
    </w:p>
    <w:p>
      <w:pPr>
        <w:pStyle w:val="Heading1"/>
      </w:pPr>
      <w:r>
        <w:rPr>
          <w:rFonts w:ascii="Montserrat" w:hAnsi="Montserrat"/>
          <w:b/>
          <w:color w:val="203965"/>
          <w:sz w:val="40"/>
        </w:rPr>
        <w:t>4. Fazit und nächste Schritte</w:t>
      </w:r>
    </w:p>
    <w:p>
      <w:pPr>
        <w:spacing w:before="0" w:after="120"/>
        <w:pBdr>
          <w:bottom w:val="single" w:sz="6" w:space="1" w:color="FFC000"/>
        </w:pBdr>
      </w:pPr>
    </w:p>
    <w:p>
      <w:pPr>
        <w:spacing w:before="20" w:after="20"/>
        <w:ind w:left="576" w:hanging="360"/>
      </w:pPr>
      <w:r>
        <w:rPr>
          <w:rFonts w:ascii="Lato" w:hAnsi="Lato"/>
          <w:b/>
          <w:color w:val="FFC000"/>
          <w:sz w:val="22"/>
        </w:rPr>
        <w:t xml:space="preserve">1.  </w:t>
      </w:r>
      <w:r>
        <w:rPr>
          <w:rFonts w:ascii="Lato" w:hAnsi="Lato"/>
          <w:b/>
          <w:i w:val="0"/>
          <w:color w:val="333333"/>
          <w:sz w:val="22"/>
          <w:u w:val="none"/>
        </w:rPr>
        <w:t>Integration der Analyse in das Markdown-Dokument:</w:t>
      </w:r>
    </w:p>
    <w:p>
      <w:pPr>
        <w:spacing w:after="120"/>
      </w:pPr>
      <w:r>
        <w:rPr>
          <w:rFonts w:ascii="Lato" w:hAnsi="Lato"/>
          <w:b w:val="0"/>
          <w:i w:val="0"/>
          <w:color w:val="333333"/>
          <w:sz w:val="22"/>
          <w:u w:val="none"/>
        </w:rPr>
        <w:t xml:space="preserve">Der hier erarbeitete Beitrag wird direkt als strukturierter Eintrag für den Punkt </w:t>
      </w:r>
      <w:r>
        <w:rPr>
          <w:rFonts w:ascii="Lato" w:hAnsi="Lato"/>
          <w:b w:val="0"/>
          <w:i/>
          <w:color w:val="333333"/>
          <w:sz w:val="22"/>
          <w:u w:val="none"/>
        </w:rPr>
        <w:t>Physik 6</w:t>
      </w:r>
      <w:r>
        <w:rPr>
          <w:rFonts w:ascii="Lato" w:hAnsi="Lato"/>
          <w:b w:val="0"/>
          <w:i w:val="0"/>
          <w:color w:val="333333"/>
          <w:sz w:val="22"/>
          <w:u w:val="none"/>
        </w:rPr>
        <w:t xml:space="preserve"> in das GitHub-Repository (</w:t>
      </w:r>
      <w:r>
        <w:rPr>
          <w:rFonts w:ascii="Lato" w:hAnsi="Lato"/>
          <w:b/>
          <w:i w:val="0"/>
          <w:color w:val="333333"/>
          <w:sz w:val="22"/>
          <w:u w:val="none"/>
        </w:rPr>
        <w:t>Fragenkatalog zu einem Phasendetektor.md</w:t>
      </w:r>
      <w:r>
        <w:rPr>
          <w:rFonts w:ascii="Lato" w:hAnsi="Lato"/>
          <w:b w:val="0"/>
          <w:i w:val="0"/>
          <w:color w:val="333333"/>
          <w:sz w:val="22"/>
          <w:u w:val="none"/>
        </w:rPr>
        <w:t>) übernommen.</w:t>
      </w:r>
    </w:p>
    <w:p>
      <w:pPr>
        <w:spacing w:before="20" w:after="20"/>
        <w:ind w:left="576" w:hanging="360"/>
      </w:pPr>
      <w:r>
        <w:rPr>
          <w:rFonts w:ascii="Lato" w:hAnsi="Lato"/>
          <w:b/>
          <w:color w:val="FFC000"/>
          <w:sz w:val="22"/>
        </w:rPr>
        <w:t xml:space="preserve">1.  </w:t>
      </w:r>
      <w:r>
        <w:rPr>
          <w:rFonts w:ascii="Lato" w:hAnsi="Lato"/>
          <w:b/>
          <w:i w:val="0"/>
          <w:color w:val="333333"/>
          <w:sz w:val="22"/>
          <w:u w:val="none"/>
        </w:rPr>
        <w:t>Kombination mit messtechnischen Validierungen: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Die aus Kozyrevs Daten bekannten Amplitudenordnungen ($\Delta Q / Q \approx 10^{-6}$ bis $10^{-7}$) dienen als Richtwert für die Empfindlichkeitsschwelle des Phasendetektors.</w:t>
      </w:r>
    </w:p>
    <w:p>
      <w:pPr>
        <w:spacing w:before="20" w:after="20"/>
        <w:ind w:left="1008" w:hanging="288"/>
      </w:pPr>
      <w:r>
        <w:rPr>
          <w:rFonts w:ascii="Lato" w:hAnsi="Lato"/>
          <w:color w:val="FFC000"/>
          <w:sz w:val="22"/>
        </w:rPr>
        <w:t xml:space="preserve">◦  </w:t>
      </w:r>
      <w:r>
        <w:rPr>
          <w:rFonts w:ascii="Lato" w:hAnsi="Lato"/>
          <w:b w:val="0"/>
          <w:i w:val="0"/>
          <w:color w:val="333333"/>
          <w:sz w:val="22"/>
          <w:u w:val="none"/>
        </w:rPr>
        <w:t>Es wird empfohlen, definierte lokale irreversible Referenzprozesse (z. B. kontrollierte Verdampfung oder Phasenübergänge in der Nähe der Sensorik) als Laborexperiment durchzuführen, um zu prüfen, ob der elektronische Phasendetektor analog zu Kozyrevs Resistoren reagiert.</w:t>
      </w:r>
    </w:p>
    <w:p>
      <w:pPr>
        <w:spacing w:before="20" w:after="20"/>
        <w:ind w:left="576" w:hanging="360"/>
      </w:pPr>
      <w:r>
        <w:rPr>
          <w:rFonts w:ascii="Lato" w:hAnsi="Lato"/>
          <w:b/>
          <w:color w:val="FFC000"/>
          <w:sz w:val="22"/>
        </w:rPr>
        <w:t xml:space="preserve">1.  </w:t>
      </w:r>
      <w:r>
        <w:rPr>
          <w:rFonts w:ascii="Lato" w:hAnsi="Lato"/>
          <w:b/>
          <w:i w:val="0"/>
          <w:color w:val="333333"/>
          <w:sz w:val="22"/>
          <w:u w:val="none"/>
        </w:rPr>
        <w:t>Nächste Schritte in der KI-Mensch-Kooperation:</w:t>
      </w:r>
    </w:p>
    <w:p>
      <w:pPr>
        <w:spacing w:before="20" w:after="20"/>
        <w:ind w:left="1008" w:hanging="288"/>
      </w:pPr>
      <w:r>
        <w:rPr>
          <w:rFonts w:ascii="Lato" w:hAnsi="Lato"/>
          <w:color w:val="FFC000"/>
          <w:sz w:val="22"/>
        </w:rPr>
        <w:t xml:space="preserve">◦  </w:t>
      </w:r>
      <w:r>
        <w:rPr>
          <w:rFonts w:ascii="Lato" w:hAnsi="Lato"/>
          <w:b w:val="0"/>
          <w:i w:val="0"/>
          <w:color w:val="333333"/>
          <w:sz w:val="22"/>
          <w:u w:val="none"/>
        </w:rPr>
        <w:t>Validierung der abgeleiteten Transferfunktionen gegenüber Störgrößen (Temperatur, Taktjitter).</w:t>
      </w:r>
    </w:p>
    <w:p>
      <w:pPr>
        <w:spacing w:before="20" w:after="20"/>
        <w:ind w:left="1008" w:hanging="288"/>
      </w:pPr>
      <w:r>
        <w:rPr>
          <w:rFonts w:ascii="Lato" w:hAnsi="Lato"/>
          <w:color w:val="FFC000"/>
          <w:sz w:val="22"/>
        </w:rPr>
        <w:t xml:space="preserve">◦  </w:t>
      </w:r>
      <w:r>
        <w:rPr>
          <w:rFonts w:ascii="Lato" w:hAnsi="Lato"/>
          <w:b w:val="0"/>
          <w:i w:val="0"/>
          <w:color w:val="333333"/>
          <w:sz w:val="22"/>
          <w:u w:val="none"/>
        </w:rPr>
        <w:t>Abgleich historischer Messdaten (2008–2010) mit den hier analysierten Effekten.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