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Montserrat" w:hAnsi="Montserrat"/>
          <w:b/>
          <w:color w:val="203965"/>
          <w:sz w:val="56"/>
        </w:rPr>
        <w:t>Analyse zu Physik 6: Kozyrevs Zeitflusskonzept und quantitative Parameter</w:t>
      </w:r>
    </w:p>
    <w:p>
      <w:pPr>
        <w:spacing w:before="0" w:after="120"/>
        <w:pBdr>
          <w:bottom w:val="single" w:sz="6" w:space="1" w:color="FFC000"/>
        </w:pBdr>
      </w:pPr>
    </w:p>
    <w:p>
      <w:pPr>
        <w:pStyle w:val="Heading1"/>
      </w:pPr>
      <w:r>
        <w:rPr>
          <w:rFonts w:ascii="Montserrat" w:hAnsi="Montserrat"/>
          <w:b/>
          <w:color w:val="203965"/>
          <w:sz w:val="40"/>
        </w:rPr>
        <w:t>1. Einleitung und Zielsetzung</w:t>
      </w:r>
    </w:p>
    <w:p>
      <w:pPr>
        <w:spacing w:before="0" w:after="120"/>
        <w:pBdr>
          <w:bottom w:val="single" w:sz="6" w:space="1" w:color="FFC000"/>
        </w:pBdr>
      </w:pPr>
    </w:p>
    <w:p>
      <w:pPr>
        <w:spacing w:after="120"/>
      </w:pPr>
      <w:r>
        <w:rPr>
          <w:rFonts w:ascii="Lato" w:hAnsi="Lato"/>
          <w:b w:val="0"/>
          <w:i w:val="0"/>
          <w:color w:val="333333"/>
          <w:sz w:val="22"/>
          <w:u w:val="none"/>
        </w:rPr>
        <w:t>In Kozyrevs Konzept der kausalen Mechanik und der substanziellen Interpretation der Zeit (präsentiert in A. P. Levichs Übersicht und den gesammelten Arbeiten) wird Zeit nicht als abstrakte Koordinatenachse verstanden, sondern als ein aktiver, strömender substanzieller Fluss (der „Kozyrev-Fluss“), der Energie, Drehimpuls und kausale Wirkungen überträgt, ohne konventionellen linearen Impuls zu transportieren.</w:t>
      </w:r>
    </w:p>
    <w:p>
      <w:pPr>
        <w:spacing w:after="120"/>
      </w:pPr>
      <w:r>
        <w:rPr>
          <w:rFonts w:ascii="Lato" w:hAnsi="Lato"/>
          <w:b w:val="0"/>
          <w:i w:val="0"/>
          <w:color w:val="333333"/>
          <w:sz w:val="22"/>
          <w:u w:val="none"/>
        </w:rPr>
        <w:t>Für unseren Phasendetektor, der relative Zeitflussänderungen, Phasenverschiebungen und elektromagnetische sowie thermische beziehungsweise mechanische Fluktuationen misst, liefert das angehängte Dokument wesentliche theoretische Grundlagen und quantitative Anhaltspunkte.</w:t>
      </w:r>
    </w:p>
    <w:p>
      <w:pPr>
        <w:spacing w:after="120"/>
      </w:pPr>
      <w:r>
        <w:rPr>
          <w:rFonts w:ascii="Lato" w:hAnsi="Lato"/>
          <w:b w:val="0"/>
          <w:i w:val="0"/>
          <w:color w:val="333333"/>
          <w:sz w:val="22"/>
          <w:u w:val="none"/>
        </w:rPr>
        <w:t>Diese Analyse beleuchtet die physikalischen Mechanismen, die zu erwartenden Amplitudenordnungen, die astronomischen Korrelationen sowie konkrete Vorschläge für die Beantwortung der Frage „Physik 6“ im Rahmen unseres Kollaborationsdokuments.</w:t>
      </w:r>
    </w:p>
    <w:p>
      <w:pPr>
        <w:pStyle w:val="Heading1"/>
      </w:pPr>
      <w:r>
        <w:rPr>
          <w:rFonts w:ascii="Montserrat" w:hAnsi="Montserrat"/>
          <w:b/>
          <w:color w:val="203965"/>
          <w:sz w:val="40"/>
        </w:rPr>
        <w:t>2. Kernbefunde aus Kozyrevs Beobachtungen</w:t>
      </w:r>
    </w:p>
    <w:p>
      <w:pPr>
        <w:spacing w:before="0" w:after="120"/>
        <w:pBdr>
          <w:bottom w:val="single" w:sz="6" w:space="1" w:color="FFC000"/>
        </w:pBdr>
      </w:pPr>
    </w:p>
    <w:p>
      <w:pPr>
        <w:spacing w:after="120"/>
      </w:pPr>
      <w:r>
        <w:rPr>
          <w:rFonts w:ascii="Lato" w:hAnsi="Lato"/>
          <w:b w:val="0"/>
          <w:i w:val="0"/>
          <w:color w:val="333333"/>
          <w:sz w:val="22"/>
          <w:u w:val="none"/>
        </w:rPr>
        <w:t>Basierend auf den Untersuchungen von N.A. Kozyrev und V.V. Nasonov lassen sich aus dem Dokument folgende Kernphänomene ableiten, die für den Phasendetektor von direkter Relevanz sind:</w:t>
      </w:r>
    </w:p>
    <w:p>
      <w:pPr>
        <w:spacing w:before="20" w:after="20"/>
        <w:ind w:left="576" w:hanging="288"/>
      </w:pPr>
      <w:r>
        <w:rPr>
          <w:rFonts w:ascii="Lato" w:hAnsi="Lato"/>
          <w:color w:val="FFC000"/>
          <w:sz w:val="22"/>
        </w:rPr>
        <w:t xml:space="preserve">•  </w:t>
      </w:r>
      <w:r>
        <w:rPr>
          <w:rFonts w:ascii="Lato" w:hAnsi="Lato"/>
          <w:b/>
          <w:i w:val="0"/>
          <w:color w:val="333333"/>
          <w:sz w:val="22"/>
          <w:u w:val="none"/>
        </w:rPr>
        <w:t>Substanzielle Natur und Dichte des Zeitflusses ($\rho_t$):</w:t>
      </w:r>
      <w:r>
        <w:rPr>
          <w:rFonts w:ascii="Lato" w:hAnsi="Lato"/>
          <w:b w:val="0"/>
          <w:i w:val="0"/>
          <w:color w:val="333333"/>
          <w:sz w:val="22"/>
          <w:u w:val="none"/>
        </w:rPr>
        <w:t xml:space="preserve"> Kozyrev definiert die Zeitdichte als skalare Größe, deren Gradient den eigentlichen Kozyrev-Fluss bildet. Unreversible Prozesse (wie Phasenübergänge, chemische Reaktionen, Reibung, Schmelzen oder biologische Stoffwechselprozesse) absorbieren oder emittieren Zeit und verändern lokal die Zeitdichte.</w:t>
      </w:r>
    </w:p>
    <w:p>
      <w:pPr>
        <w:spacing w:before="20" w:after="20"/>
        <w:ind w:left="576" w:hanging="288"/>
      </w:pPr>
      <w:r>
        <w:rPr>
          <w:rFonts w:ascii="Lato" w:hAnsi="Lato"/>
          <w:color w:val="FFC000"/>
          <w:sz w:val="22"/>
        </w:rPr>
        <w:t xml:space="preserve">•  </w:t>
      </w:r>
      <w:r>
        <w:rPr>
          <w:rFonts w:ascii="Lato" w:hAnsi="Lato"/>
          <w:b/>
          <w:i w:val="0"/>
          <w:color w:val="333333"/>
          <w:sz w:val="22"/>
          <w:u w:val="none"/>
        </w:rPr>
        <w:t>Wirkungsquerschnitte und Effektgrößen:</w:t>
      </w:r>
      <w:r>
        <w:rPr>
          <w:rFonts w:ascii="Lato" w:hAnsi="Lato"/>
          <w:b w:val="0"/>
          <w:i w:val="0"/>
          <w:color w:val="333333"/>
          <w:sz w:val="22"/>
          <w:u w:val="none"/>
        </w:rPr>
        <w:t xml:space="preserve"> </w:t>
      </w:r>
    </w:p>
    <w:p>
      <w:pPr>
        <w:spacing w:before="20" w:after="20"/>
        <w:ind w:left="1008" w:hanging="288"/>
      </w:pPr>
      <w:r>
        <w:rPr>
          <w:rFonts w:ascii="Lato" w:hAnsi="Lato"/>
          <w:color w:val="FFC000"/>
          <w:sz w:val="22"/>
        </w:rPr>
        <w:t xml:space="preserve">◦  </w:t>
      </w:r>
      <w:r>
        <w:rPr>
          <w:rFonts w:ascii="Lato" w:hAnsi="Lato"/>
          <w:b w:val="0"/>
          <w:i w:val="0"/>
          <w:color w:val="333333"/>
          <w:sz w:val="22"/>
          <w:u w:val="none"/>
        </w:rPr>
        <w:t>Bei mechanischen Detektoren (wie Torsionswaagen und Pendeln) betragen die zusätzlichen Kräfte etwa $10^{-4}$ bis $10^{-5}$ des Körpergewichts, beziehungsweise relative Änderungen in der Größenordnung von $10^{-6}$ bis $10^{-7}$.</w:t>
      </w:r>
    </w:p>
    <w:p>
      <w:pPr>
        <w:spacing w:before="20" w:after="20"/>
        <w:ind w:left="1008" w:hanging="288"/>
      </w:pPr>
      <w:r>
        <w:rPr>
          <w:rFonts w:ascii="Lato" w:hAnsi="Lato"/>
          <w:color w:val="FFC000"/>
          <w:sz w:val="22"/>
        </w:rPr>
        <w:t xml:space="preserve">◦  </w:t>
      </w:r>
      <w:r>
        <w:rPr>
          <w:rFonts w:ascii="Lato" w:hAnsi="Lato"/>
          <w:b w:val="0"/>
          <w:i w:val="0"/>
          <w:color w:val="333333"/>
          <w:sz w:val="22"/>
          <w:u w:val="none"/>
        </w:rPr>
        <w:t>Bei elektronischen Detektoren (Widerstandsbrücken, Fotozellen, integrierte Schaltungen) liegen die relativen Widerstands- oder Stromvariationen typischerweise im Bereich von $10^{-5}$ bis $10^{-7}$ (parts per million, ppm).</w:t>
      </w:r>
    </w:p>
    <w:p>
      <w:pPr>
        <w:spacing w:before="20" w:after="20"/>
        <w:ind w:left="576" w:hanging="288"/>
      </w:pPr>
      <w:r>
        <w:rPr>
          <w:rFonts w:ascii="Lato" w:hAnsi="Lato"/>
          <w:color w:val="FFC000"/>
          <w:sz w:val="22"/>
        </w:rPr>
        <w:t xml:space="preserve">•  </w:t>
      </w:r>
      <w:r>
        <w:rPr>
          <w:rFonts w:ascii="Lato" w:hAnsi="Lato"/>
          <w:b/>
          <w:i w:val="0"/>
          <w:color w:val="333333"/>
          <w:sz w:val="22"/>
          <w:u w:val="none"/>
        </w:rPr>
        <w:t>Ausbreitungsgeschwindigkeiten ($c_2$ und $c_3$):</w:t>
      </w:r>
      <w:r>
        <w:rPr>
          <w:rFonts w:ascii="Lato" w:hAnsi="Lato"/>
          <w:b w:val="0"/>
          <w:i w:val="0"/>
          <w:color w:val="333333"/>
          <w:sz w:val="22"/>
          <w:u w:val="none"/>
        </w:rPr>
        <w:t xml:space="preserve"> </w:t>
      </w:r>
    </w:p>
    <w:p>
      <w:pPr>
        <w:spacing w:before="20" w:after="20"/>
        <w:ind w:left="1008" w:hanging="288"/>
      </w:pPr>
      <w:r>
        <w:rPr>
          <w:rFonts w:ascii="Lato" w:hAnsi="Lato"/>
          <w:color w:val="FFC000"/>
          <w:sz w:val="22"/>
        </w:rPr>
        <w:t xml:space="preserve">◦  </w:t>
      </w:r>
      <w:r>
        <w:rPr>
          <w:rFonts w:ascii="Lato" w:hAnsi="Lato"/>
          <w:b w:val="0"/>
          <w:i w:val="0"/>
          <w:color w:val="333333"/>
          <w:sz w:val="22"/>
          <w:u w:val="none"/>
        </w:rPr>
        <w:t>Die Kausal-Wirkungs-Umwandlungsgeschwindigkeit $c_2$ wurde theoretisch und experimentell zu ca. $700\,\text{km/s}$ bestimmt ($c_2/c_1 \approx 1/137$).</w:t>
      </w:r>
    </w:p>
    <w:p>
      <w:pPr>
        <w:spacing w:before="20" w:after="20"/>
        <w:ind w:left="1008" w:hanging="288"/>
      </w:pPr>
      <w:r>
        <w:rPr>
          <w:rFonts w:ascii="Lato" w:hAnsi="Lato"/>
          <w:color w:val="FFC000"/>
          <w:sz w:val="22"/>
        </w:rPr>
        <w:t xml:space="preserve">◦  </w:t>
      </w:r>
      <w:r>
        <w:rPr>
          <w:rFonts w:ascii="Lato" w:hAnsi="Lato"/>
          <w:b w:val="0"/>
          <w:i w:val="0"/>
          <w:color w:val="333333"/>
          <w:sz w:val="22"/>
          <w:u w:val="none"/>
        </w:rPr>
        <w:t>Die Ausbreitungsgeschwindigkeit von Signalsignalen im Zeitfluss $c_3$ wird als unendlich ($c_3 = \infty$) oder zumindest hochgradig superluminal betrachtet, wodurch astronomische Beobachtungen (wie die Erfassung der wahren Sternpositionen ohne Aberration) möglich werden.</w:t>
      </w:r>
    </w:p>
    <w:p>
      <w:pPr>
        <w:pStyle w:val="Heading1"/>
      </w:pPr>
      <w:r>
        <w:rPr>
          <w:rFonts w:ascii="Montserrat" w:hAnsi="Montserrat"/>
          <w:b/>
          <w:color w:val="203965"/>
          <w:sz w:val="40"/>
        </w:rPr>
        <w:t>3. Quantitative Parameter für den Phasendetektor</w:t>
      </w:r>
    </w:p>
    <w:p>
      <w:pPr>
        <w:spacing w:before="0" w:after="120"/>
        <w:pBdr>
          <w:bottom w:val="single" w:sz="6" w:space="1" w:color="FFC000"/>
        </w:pBdr>
      </w:pPr>
    </w:p>
    <w:p>
      <w:pPr>
        <w:spacing w:after="120"/>
      </w:pPr>
      <w:r>
        <w:rPr>
          <w:rFonts w:ascii="Lato" w:hAnsi="Lato"/>
          <w:b w:val="0"/>
          <w:i w:val="0"/>
          <w:color w:val="333333"/>
          <w:sz w:val="22"/>
          <w:u w:val="none"/>
        </w:rPr>
        <w:t>Für die Beantwortung von „Physik 6“ (Ableitung natürlich vorkommender relativer Zeitflussänderungen) lassen sich folgende quantifizierbare Kenngrößen und Korrelationen aus den Dokumenten extrahieren:</w:t>
      </w:r>
    </w:p>
    <w:p>
      <w:pPr>
        <w:spacing w:before="80" w:after="0"/>
      </w:pP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E8E8E8"/>
          </w:tcPr>
          <w:p>
            <w:r>
              <w:rPr>
                <w:rFonts w:ascii="Lato" w:hAnsi="Lato"/>
                <w:b/>
                <w:color w:val="203965"/>
                <w:sz w:val="22"/>
              </w:rPr>
              <w:t>Phänomen / Prozess</w:t>
            </w:r>
          </w:p>
        </w:tc>
        <w:tc>
          <w:tcPr>
            <w:tcW w:type="dxa" w:w="2880"/>
            <w:shd w:val="clear" w:color="auto" w:fill="E8E8E8"/>
          </w:tcPr>
          <w:p>
            <w:r>
              <w:rPr>
                <w:rFonts w:ascii="Lato" w:hAnsi="Lato"/>
                <w:b/>
                <w:color w:val="203965"/>
                <w:sz w:val="22"/>
              </w:rPr>
              <w:t>Beobachteter Effekt / relative Änderung</w:t>
            </w:r>
          </w:p>
        </w:tc>
        <w:tc>
          <w:tcPr>
            <w:tcW w:type="dxa" w:w="2880"/>
            <w:shd w:val="clear" w:color="auto" w:fill="E8E8E8"/>
          </w:tcPr>
          <w:p>
            <w:r>
              <w:rPr>
                <w:rFonts w:ascii="Lato" w:hAnsi="Lato"/>
                <w:b/>
                <w:color w:val="203965"/>
                <w:sz w:val="22"/>
              </w:rPr>
              <w:t>Physikalische Einordnung</w:t>
            </w:r>
          </w:p>
        </w:tc>
      </w:tr>
      <w:tr>
        <w:tc>
          <w:tcPr>
            <w:tcW w:type="dxa" w:w="2880"/>
          </w:tcPr>
          <w:p>
            <w:r>
              <w:rPr>
                <w:rFonts w:ascii="Lato" w:hAnsi="Lato"/>
                <w:b w:val="0"/>
                <w:i w:val="0"/>
                <w:color w:val="333333"/>
                <w:sz w:val="22"/>
                <w:u w:val="none"/>
              </w:rPr>
              <w:t>:---</w:t>
            </w:r>
          </w:p>
        </w:tc>
        <w:tc>
          <w:tcPr>
            <w:tcW w:type="dxa" w:w="2880"/>
          </w:tcPr>
          <w:p>
            <w:r>
              <w:rPr>
                <w:rFonts w:ascii="Lato" w:hAnsi="Lato"/>
                <w:b w:val="0"/>
                <w:i w:val="0"/>
                <w:color w:val="333333"/>
                <w:sz w:val="22"/>
                <w:u w:val="none"/>
              </w:rPr>
              <w:t>:---</w:t>
            </w:r>
          </w:p>
        </w:tc>
        <w:tc>
          <w:tcPr>
            <w:tcW w:type="dxa" w:w="2880"/>
          </w:tcPr>
          <w:p>
            <w:r>
              <w:rPr>
                <w:rFonts w:ascii="Lato" w:hAnsi="Lato"/>
                <w:b w:val="0"/>
                <w:i w:val="0"/>
                <w:color w:val="333333"/>
                <w:sz w:val="22"/>
                <w:u w:val="none"/>
              </w:rPr>
              <w:t>:---</w:t>
            </w:r>
          </w:p>
        </w:tc>
      </w:tr>
      <w:tr>
        <w:tc>
          <w:tcPr>
            <w:tcW w:type="dxa" w:w="2880"/>
            <w:shd w:val="clear" w:color="auto" w:fill="F5F5F5"/>
          </w:tcPr>
          <w:p>
            <w:r>
              <w:rPr>
                <w:rFonts w:ascii="Lato" w:hAnsi="Lato"/>
                <w:b/>
                <w:i w:val="0"/>
                <w:color w:val="333333"/>
                <w:sz w:val="22"/>
                <w:u w:val="none"/>
              </w:rPr>
              <w:t>Astronomische Quellen ($\alpha\text{Leo}$, $\eta\text{Cas}$, Cyg X-1)</w:t>
            </w:r>
          </w:p>
        </w:tc>
        <w:tc>
          <w:tcPr>
            <w:tcW w:type="dxa" w:w="2880"/>
            <w:shd w:val="clear" w:color="auto" w:fill="F5F5F5"/>
          </w:tcPr>
          <w:p>
            <w:r>
              <w:rPr>
                <w:rFonts w:ascii="Lato" w:hAnsi="Lato"/>
                <w:b w:val="0"/>
                <w:i w:val="0"/>
                <w:color w:val="333333"/>
                <w:sz w:val="22"/>
                <w:u w:val="none"/>
              </w:rPr>
              <w:t>Signaländerungen im Bereich weniger Skalenteile / Raster</w:t>
            </w:r>
          </w:p>
        </w:tc>
        <w:tc>
          <w:tcPr>
            <w:tcW w:type="dxa" w:w="2880"/>
            <w:shd w:val="clear" w:color="auto" w:fill="F5F5F5"/>
          </w:tcPr>
          <w:p>
            <w:r>
              <w:rPr>
                <w:rFonts w:ascii="Lato" w:hAnsi="Lato"/>
                <w:b w:val="0"/>
                <w:i w:val="0"/>
                <w:color w:val="333333"/>
                <w:sz w:val="22"/>
                <w:u w:val="none"/>
              </w:rPr>
              <w:t>Detektion wahrer vs. visueller Sternpositionen (Parallaxenprüfung)</w:t>
            </w:r>
          </w:p>
        </w:tc>
      </w:tr>
      <w:tr>
        <w:tc>
          <w:tcPr>
            <w:tcW w:type="dxa" w:w="2880"/>
          </w:tcPr>
          <w:p>
            <w:r>
              <w:rPr>
                <w:rFonts w:ascii="Lato" w:hAnsi="Lato"/>
                <w:b/>
                <w:i w:val="0"/>
                <w:color w:val="333333"/>
                <w:sz w:val="22"/>
                <w:u w:val="none"/>
              </w:rPr>
              <w:t>Geophysikalische Zyklen (Tages- und Jahresgang)</w:t>
            </w:r>
          </w:p>
        </w:tc>
        <w:tc>
          <w:tcPr>
            <w:tcW w:type="dxa" w:w="2880"/>
          </w:tcPr>
          <w:p>
            <w:r>
              <w:rPr>
                <w:rFonts w:ascii="Lato" w:hAnsi="Lato"/>
                <w:b w:val="0"/>
                <w:i w:val="0"/>
                <w:color w:val="333333"/>
                <w:sz w:val="22"/>
                <w:u w:val="none"/>
              </w:rPr>
              <w:t>Deutliche Modulation der Detektorempfindlichkeit (Maximum im Spätherbst/Winter)</w:t>
            </w:r>
          </w:p>
        </w:tc>
        <w:tc>
          <w:tcPr>
            <w:tcW w:type="dxa" w:w="2880"/>
          </w:tcPr>
          <w:p>
            <w:r>
              <w:rPr>
                <w:rFonts w:ascii="Lato" w:hAnsi="Lato"/>
                <w:b w:val="0"/>
                <w:i w:val="0"/>
                <w:color w:val="333333"/>
                <w:sz w:val="22"/>
                <w:u w:val="none"/>
              </w:rPr>
              <w:t>Korrelation mit biologischer Aktivität (Pflanzenruhe vs. Vegetationsperiode) und thermisch-gravitativen Randbedingungen</w:t>
            </w:r>
          </w:p>
        </w:tc>
      </w:tr>
      <w:tr>
        <w:tc>
          <w:tcPr>
            <w:tcW w:type="dxa" w:w="2880"/>
            <w:shd w:val="clear" w:color="auto" w:fill="F5F5F5"/>
          </w:tcPr>
          <w:p>
            <w:r>
              <w:rPr>
                <w:rFonts w:ascii="Lato" w:hAnsi="Lato"/>
                <w:b/>
                <w:i w:val="0"/>
                <w:color w:val="333333"/>
                <w:sz w:val="22"/>
                <w:u w:val="none"/>
              </w:rPr>
              <w:t>Solareinflüsse (Finsternisse, Sonnenstand)</w:t>
            </w:r>
          </w:p>
        </w:tc>
        <w:tc>
          <w:tcPr>
            <w:tcW w:type="dxa" w:w="2880"/>
            <w:shd w:val="clear" w:color="auto" w:fill="F5F5F5"/>
          </w:tcPr>
          <w:p>
            <w:r>
              <w:rPr>
                <w:rFonts w:ascii="Lato" w:hAnsi="Lato"/>
                <w:b w:val="0"/>
                <w:i w:val="0"/>
                <w:color w:val="333333"/>
                <w:sz w:val="22"/>
                <w:u w:val="none"/>
              </w:rPr>
              <w:t>Nachweisbare Dämpfung der Detektorsignale während Sonnenfinsternissen (z. B. Abnahme der Kraftkomponenten)</w:t>
            </w:r>
          </w:p>
        </w:tc>
        <w:tc>
          <w:tcPr>
            <w:tcW w:type="dxa" w:w="2880"/>
            <w:shd w:val="clear" w:color="auto" w:fill="F5F5F5"/>
          </w:tcPr>
          <w:p>
            <w:r>
              <w:rPr>
                <w:rFonts w:ascii="Lato" w:hAnsi="Lato"/>
                <w:b w:val="0"/>
                <w:i w:val="0"/>
                <w:color w:val="333333"/>
                <w:sz w:val="22"/>
                <w:u w:val="none"/>
              </w:rPr>
              <w:t>Direkte Koppelung an solare Strahlungs- und Teilchenprozesse sowie wahre Sonnenposition</w:t>
            </w:r>
          </w:p>
        </w:tc>
      </w:tr>
      <w:tr>
        <w:tc>
          <w:tcPr>
            <w:tcW w:type="dxa" w:w="2880"/>
          </w:tcPr>
          <w:p>
            <w:r>
              <w:rPr>
                <w:rFonts w:ascii="Lato" w:hAnsi="Lato"/>
                <w:b/>
                <w:i w:val="0"/>
                <w:color w:val="333333"/>
                <w:sz w:val="22"/>
                <w:u w:val="none"/>
              </w:rPr>
              <w:t>Lokale irreversible Prozesse (Verdunstung, Lösen)</w:t>
            </w:r>
          </w:p>
        </w:tc>
        <w:tc>
          <w:tcPr>
            <w:tcW w:type="dxa" w:w="2880"/>
          </w:tcPr>
          <w:p>
            <w:r>
              <w:rPr>
                <w:rFonts w:ascii="Lato" w:hAnsi="Lato"/>
                <w:b w:val="0"/>
                <w:i w:val="0"/>
                <w:color w:val="333333"/>
                <w:sz w:val="22"/>
                <w:u w:val="none"/>
              </w:rPr>
              <w:t>Relative Widerstands- und Leitwertänderungen von $10^{-6}$ bis $10^{-7}$ ($\text{ppm}$-Bereich)</w:t>
            </w:r>
          </w:p>
        </w:tc>
        <w:tc>
          <w:tcPr>
            <w:tcW w:type="dxa" w:w="2880"/>
          </w:tcPr>
          <w:p>
            <w:r>
              <w:rPr>
                <w:rFonts w:ascii="Lato" w:hAnsi="Lato"/>
                <w:b w:val="0"/>
                <w:i w:val="0"/>
                <w:color w:val="333333"/>
                <w:sz w:val="22"/>
                <w:u w:val="none"/>
              </w:rPr>
              <w:t>Laborstandards zur Simulation und Kalibrierung von Zeitflussgradienten</w:t>
            </w:r>
          </w:p>
        </w:tc>
      </w:tr>
    </w:tbl>
    <w:p>
      <w:pPr>
        <w:spacing w:before="0" w:after="80"/>
      </w:pPr>
    </w:p>
    <w:p>
      <w:pPr>
        <w:pStyle w:val="Heading1"/>
      </w:pPr>
      <w:r>
        <w:rPr>
          <w:rFonts w:ascii="Montserrat" w:hAnsi="Montserrat"/>
          <w:b/>
          <w:color w:val="203965"/>
          <w:sz w:val="40"/>
        </w:rPr>
        <w:t>4. Vorschläge für die Beantwortung von „Physik 6“</w:t>
      </w:r>
    </w:p>
    <w:p>
      <w:pPr>
        <w:spacing w:before="0" w:after="120"/>
        <w:pBdr>
          <w:bottom w:val="single" w:sz="6" w:space="1" w:color="FFC000"/>
        </w:pBdr>
      </w:pPr>
    </w:p>
    <w:p>
      <w:pPr>
        <w:spacing w:after="120"/>
      </w:pPr>
      <w:r>
        <w:rPr>
          <w:rFonts w:ascii="Lato" w:hAnsi="Lato"/>
          <w:b w:val="0"/>
          <w:i w:val="0"/>
          <w:color w:val="333333"/>
          <w:sz w:val="22"/>
          <w:u w:val="none"/>
        </w:rPr>
        <w:t>Um die Erkenntnisse aus Kozyrevs Arbeiten für den aktuellen Phasendetektor nutzbar zu machen, schlagen wir folgende konkrete Schritte und Beitragsbausteine für das GitHub-Dokument vor:</w:t>
      </w:r>
    </w:p>
    <w:p>
      <w:pPr>
        <w:spacing w:before="20" w:after="20"/>
        <w:ind w:left="576" w:hanging="360"/>
      </w:pPr>
      <w:r>
        <w:rPr>
          <w:rFonts w:ascii="Lato" w:hAnsi="Lato"/>
          <w:b/>
          <w:color w:val="FFC000"/>
          <w:sz w:val="22"/>
        </w:rPr>
        <w:t xml:space="preserve">1.  </w:t>
      </w:r>
      <w:r>
        <w:rPr>
          <w:rFonts w:ascii="Lato" w:hAnsi="Lato"/>
          <w:b/>
          <w:i w:val="0"/>
          <w:color w:val="333333"/>
          <w:sz w:val="22"/>
          <w:u w:val="none"/>
        </w:rPr>
        <w:t>Integration der Skalierung ($10^{-6}$ bis $10^{-7}$):</w:t>
      </w:r>
      <w:r>
        <w:rPr>
          <w:rFonts w:ascii="Lato" w:hAnsi="Lato"/>
          <w:b w:val="0"/>
          <w:i w:val="0"/>
          <w:color w:val="333333"/>
          <w:sz w:val="22"/>
          <w:u w:val="none"/>
        </w:rPr>
        <w:t xml:space="preserve"> Der Phasendetektor muss so ausgelegt und kalibriert werden, dass er relative Phasen- und Laufzeitänderungen im ppm- bis sub-ppm-Bereich auflösen kann, da dies der in der Literatur belegten Größenordnung für Umwelteinflüsse und makroskopische Kopplungen entspricht.</w:t>
      </w:r>
    </w:p>
    <w:p>
      <w:pPr>
        <w:spacing w:before="20" w:after="20"/>
        <w:ind w:left="576" w:hanging="360"/>
      </w:pPr>
      <w:r>
        <w:rPr>
          <w:rFonts w:ascii="Lato" w:hAnsi="Lato"/>
          <w:b/>
          <w:color w:val="FFC000"/>
          <w:sz w:val="22"/>
        </w:rPr>
        <w:t xml:space="preserve">2.  </w:t>
      </w:r>
      <w:r>
        <w:rPr>
          <w:rFonts w:ascii="Lato" w:hAnsi="Lato"/>
          <w:b/>
          <w:i w:val="0"/>
          <w:color w:val="333333"/>
          <w:sz w:val="22"/>
          <w:u w:val="none"/>
        </w:rPr>
        <w:t>Kompensation und Referenzierung (Common-Mode-Unterdrückung):</w:t>
      </w:r>
      <w:r>
        <w:rPr>
          <w:rFonts w:ascii="Lato" w:hAnsi="Lato"/>
          <w:b w:val="0"/>
          <w:i w:val="0"/>
          <w:color w:val="333333"/>
          <w:sz w:val="22"/>
          <w:u w:val="none"/>
        </w:rPr>
        <w:t xml:space="preserve"> Da Kozyrevs Effekte stark durch meteorologische, saisonale und biologische Hintergrundprozesse (z. B. pflanzliche Stoffwechselzyklen) moduliert werden, ist eine differentielle Messanordnung zwingend erforderlich, um rein thermische oder barometrische Störgrößen von echten Raumzeit- beziehungsweise Zeitflussvariationen zu trennen.</w:t>
      </w:r>
    </w:p>
    <w:p>
      <w:pPr>
        <w:spacing w:before="20" w:after="20"/>
        <w:ind w:left="576" w:hanging="360"/>
      </w:pPr>
      <w:r>
        <w:rPr>
          <w:rFonts w:ascii="Lato" w:hAnsi="Lato"/>
          <w:b/>
          <w:color w:val="FFC000"/>
          <w:sz w:val="22"/>
        </w:rPr>
        <w:t xml:space="preserve">3.  </w:t>
      </w:r>
      <w:r>
        <w:rPr>
          <w:rFonts w:ascii="Lato" w:hAnsi="Lato"/>
          <w:b/>
          <w:i w:val="0"/>
          <w:color w:val="333333"/>
          <w:sz w:val="22"/>
          <w:u w:val="none"/>
        </w:rPr>
        <w:t>Erweiterung des Messprotokolls:</w:t>
      </w:r>
      <w:r>
        <w:rPr>
          <w:rFonts w:ascii="Lato" w:hAnsi="Lato"/>
          <w:b w:val="0"/>
          <w:i w:val="0"/>
          <w:color w:val="333333"/>
          <w:sz w:val="22"/>
          <w:u w:val="none"/>
        </w:rPr>
        <w:t xml:space="preserve"> Aufnahme von systematischen Langzeitmessungen zur Erfassung diurnaler und saisonaler Trends (Analogie zum Spätherbst-/Winter-Effekt bei Pendlern und Torsionssystemen).</w:t>
      </w:r>
    </w:p>
    <w:p>
      <w:pPr>
        <w:spacing w:before="20" w:after="20"/>
        <w:ind w:left="576" w:hanging="360"/>
      </w:pPr>
      <w:r>
        <w:rPr>
          <w:rFonts w:ascii="Lato" w:hAnsi="Lato"/>
          <w:b/>
          <w:color w:val="FFC000"/>
          <w:sz w:val="22"/>
        </w:rPr>
        <w:t xml:space="preserve">4.  </w:t>
      </w:r>
      <w:r>
        <w:rPr>
          <w:rFonts w:ascii="Lato" w:hAnsi="Lato"/>
          <w:b/>
          <w:i w:val="0"/>
          <w:color w:val="333333"/>
          <w:sz w:val="22"/>
          <w:u w:val="none"/>
        </w:rPr>
        <w:t>Formulierung des Dokuments-Eintrags:</w:t>
      </w:r>
      <w:r>
        <w:rPr>
          <w:rFonts w:ascii="Lato" w:hAnsi="Lato"/>
          <w:b w:val="0"/>
          <w:i w:val="0"/>
          <w:color w:val="333333"/>
          <w:sz w:val="22"/>
          <w:u w:val="none"/>
        </w:rPr>
        <w:t xml:space="preserve"> Zusammenfassung der 12 KI-Analysen als standardisierter Diskussionsbeitrag unter der Sektion „Physik 6“ im GitHub-Markdown-Dokument.</w:t>
      </w:r>
    </w:p>
    <w:p>
      <w:pPr>
        <w:pStyle w:val="Heading1"/>
      </w:pPr>
      <w:r>
        <w:rPr>
          <w:rFonts w:ascii="Montserrat" w:hAnsi="Montserrat"/>
          <w:b/>
          <w:color w:val="203965"/>
          <w:sz w:val="40"/>
        </w:rPr>
        <w:t>5. Fazit</w:t>
      </w:r>
    </w:p>
    <w:p>
      <w:pPr>
        <w:spacing w:before="0" w:after="120"/>
        <w:pBdr>
          <w:bottom w:val="single" w:sz="6" w:space="1" w:color="FFC000"/>
        </w:pBdr>
      </w:pPr>
    </w:p>
    <w:p>
      <w:pPr>
        <w:spacing w:after="120"/>
      </w:pPr>
      <w:r>
        <w:rPr>
          <w:rFonts w:ascii="Lato" w:hAnsi="Lato"/>
          <w:b w:val="0"/>
          <w:i w:val="0"/>
          <w:color w:val="333333"/>
          <w:sz w:val="22"/>
          <w:u w:val="none"/>
        </w:rPr>
        <w:t>Die detaillierte Auswertung von Kozyrevs Beobachtungen zeigt, dass natürliche Zeitflussänderungen keine spekulativen Randerscheinungen sind, sondern in historischen Messreihen konsistente relative Amplituden im Bereich von $10^{-6}$ bis $10^{-7}$ aufweisen. Durch die Übertragung dieser Kennwerte auf unseren hochempfindlichen Phasendetektor lässt sich die experimentelle Validierung signifikant schärfen. Das System bietet damit das Potenzial, sub-ppm-Fluktuationen der Raumzeit systematisch zu erfassen und von klassischen Störgrößen zu trennen.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ato" w:hAnsi="Lato"/>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