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2.</w:t>
      </w:r>
    </w:p>
    <w:p>
      <w:pPr>
        <w:pStyle w:val="style0"/>
      </w:pPr>
      <w:r>
        <w:rPr/>
        <w:t>Para probar que -&gt; es determinista, es decir, si t-&gt;t’ y t-&gt;t’’, entonces t’=t’’;  usamos inducción sobre la derivación t-&gt;t’.</w:t>
      </w:r>
    </w:p>
    <w:p>
      <w:pPr>
        <w:pStyle w:val="style0"/>
      </w:pPr>
      <w:r>
        <w:rPr>
          <w:color w:val="000000"/>
        </w:rPr>
        <w:t xml:space="preserve">*Si la última regla utilizada es  ASS, luego t tiene la forma </w:t>
      </w:r>
      <w:r>
        <w:rPr>
          <w:color w:val="000000"/>
          <w:rFonts w:cs="Calibri"/>
        </w:rPr>
        <w:t>‹v:=e,σ›</w:t>
      </w:r>
      <w:r>
        <w:rPr>
          <w:color w:val="000000"/>
        </w:rPr>
        <w:t xml:space="preserve"> . Pero entonces,  esta es la única regla que se puede aplicar y,  por lo tanto, t’=[</w:t>
      </w:r>
      <w:r>
        <w:rPr>
          <w:color w:val="000000"/>
          <w:rFonts w:cs="Calibri"/>
        </w:rPr>
        <w:t xml:space="preserve"> σ|v:[[e]]intExp σ</w:t>
      </w:r>
      <w:r>
        <w:rPr>
          <w:color w:val="000000"/>
        </w:rPr>
        <w:t>]=t’’. ( [[e]]intExp</w:t>
      </w:r>
      <w:r>
        <w:rPr>
          <w:color w:val="000000"/>
          <w:rFonts w:cs="Calibri"/>
        </w:rPr>
        <w:t xml:space="preserve"> σ</w:t>
      </w:r>
      <w:r>
        <w:rPr>
          <w:color w:val="000000"/>
        </w:rPr>
        <w:t xml:space="preserve"> es el valor de una función)</w:t>
      </w:r>
    </w:p>
    <w:p>
      <w:pPr>
        <w:pStyle w:val="style0"/>
      </w:pPr>
      <w:r>
        <w:rPr/>
        <w:t xml:space="preserve">* Si la última regla utilizada es  SKIP, luego t tiene la forma </w:t>
      </w:r>
      <w:r>
        <w:rPr>
          <w:rFonts w:cs="Calibri"/>
        </w:rPr>
        <w:t>‹</w:t>
      </w:r>
      <w:r>
        <w:rPr>
          <w:b/>
          <w:rFonts w:cs="Calibri"/>
        </w:rPr>
        <w:t>skip</w:t>
      </w:r>
      <w:r>
        <w:rPr>
          <w:rFonts w:cs="Calibri"/>
        </w:rPr>
        <w:t>,σ›</w:t>
      </w:r>
      <w:r>
        <w:rPr/>
        <w:t xml:space="preserve"> . Pero entonces,  esta es la única regla que se puede aplicar y,  por lo tanto, t’= </w:t>
      </w:r>
      <w:r>
        <w:rPr>
          <w:rFonts w:cs="Calibri"/>
        </w:rPr>
        <w:t>σ = t’’</w:t>
      </w:r>
      <w:r>
        <w:rPr/>
        <w:t>.</w:t>
      </w:r>
    </w:p>
    <w:p>
      <w:pPr>
        <w:pStyle w:val="style0"/>
      </w:pPr>
      <w:r>
        <w:rPr>
          <w:color w:val="000000"/>
        </w:rPr>
        <w:t xml:space="preserve">**Si la última regla utilizada es  SEQ1, luego t tiene la forma </w:t>
      </w:r>
      <w:r>
        <w:rPr>
          <w:color w:val="000000"/>
          <w:rFonts w:cs="Calibri"/>
        </w:rPr>
        <w:t>‹c0;c1,σ›. Por lo tanto, la única otra regla que se podría aplicar es SEQ2, pero como ‹c0,σ› -&gt; σ’  tenemos que esta es la única regla que se puede aplicar</w:t>
      </w:r>
      <w:r>
        <w:rPr>
          <w:color w:val="000000"/>
        </w:rPr>
        <w:t>. Ahora,  t’=</w:t>
      </w:r>
      <w:r>
        <w:rPr>
          <w:color w:val="000000"/>
          <w:rFonts w:cs="Calibri"/>
        </w:rPr>
        <w:t>‹c1,σ’› (‹c0,σ› -&gt; σ’)</w:t>
      </w:r>
      <w:r>
        <w:rPr>
          <w:color w:val="000000"/>
        </w:rPr>
        <w:t xml:space="preserve"> y t’’=</w:t>
      </w:r>
      <w:r>
        <w:rPr>
          <w:color w:val="000000"/>
          <w:rFonts w:cs="Calibri"/>
        </w:rPr>
        <w:t>‹c1,σ’’› (‹c0,σ› -&gt; σ’’), pero por HI si ‹c0,σ› -&gt; σ’ y ‹c0,σ› -&gt; σ’’ entonces σ’= σ’’, y por lo tanto, t’=t’’.</w:t>
      </w:r>
    </w:p>
    <w:p>
      <w:pPr>
        <w:pStyle w:val="style0"/>
      </w:pPr>
      <w:r>
        <w:rPr>
          <w:color w:val="00B050"/>
        </w:rPr>
        <w:t>*</w:t>
      </w:r>
      <w:r>
        <w:rPr/>
        <w:t xml:space="preserve">Si la última regla utilizada es  IF1, luego t tiene la forma </w:t>
      </w:r>
      <w:r>
        <w:rPr>
          <w:rFonts w:cs="Calibri"/>
        </w:rPr>
        <w:t>‹</w:t>
      </w:r>
      <w:r>
        <w:rPr>
          <w:b/>
          <w:rFonts w:cs="Calibri"/>
        </w:rPr>
        <w:t xml:space="preserve">if </w:t>
      </w:r>
      <w:r>
        <w:rPr>
          <w:rFonts w:cs="Calibri"/>
        </w:rPr>
        <w:t xml:space="preserve">b </w:t>
      </w:r>
      <w:r>
        <w:rPr>
          <w:b/>
          <w:rFonts w:cs="Calibri"/>
        </w:rPr>
        <w:t xml:space="preserve">then </w:t>
      </w:r>
      <w:r>
        <w:rPr>
          <w:rFonts w:cs="Calibri"/>
        </w:rPr>
        <w:t xml:space="preserve">c0 </w:t>
      </w:r>
      <w:r>
        <w:rPr>
          <w:b/>
          <w:rFonts w:cs="Calibri"/>
        </w:rPr>
        <w:t xml:space="preserve">else </w:t>
      </w:r>
      <w:r>
        <w:rPr>
          <w:rFonts w:cs="Calibri"/>
        </w:rPr>
        <w:t xml:space="preserve">c1,σ›. Por lo tanto, la única otra regla que se podría aplicar es IF2, pero como [[b]]boolexp -&gt; </w:t>
      </w:r>
      <w:r>
        <w:rPr>
          <w:b/>
          <w:rFonts w:cs="Calibri"/>
        </w:rPr>
        <w:t>true</w:t>
      </w:r>
      <w:r>
        <w:rPr>
          <w:rFonts w:cs="Calibri"/>
        </w:rPr>
        <w:t xml:space="preserve">  tenemos que esta es la única regla que se puede aplicar</w:t>
      </w:r>
      <w:r>
        <w:rPr/>
        <w:t>. Luego,  t’=</w:t>
      </w:r>
      <w:r>
        <w:rPr>
          <w:rFonts w:cs="Calibri"/>
        </w:rPr>
        <w:t>‹c0,σ›=t’’.</w:t>
      </w:r>
    </w:p>
    <w:p>
      <w:pPr>
        <w:pStyle w:val="style0"/>
      </w:pPr>
      <w:r>
        <w:rPr>
          <w:color w:val="00B050"/>
        </w:rPr>
        <w:t>*</w:t>
      </w:r>
      <w:r>
        <w:rPr/>
        <w:t xml:space="preserve"> Si la última regla utilizada es  WHILE1, luego t tiene la forma </w:t>
      </w:r>
      <w:r>
        <w:rPr>
          <w:rFonts w:cs="Calibri"/>
        </w:rPr>
        <w:t>‹</w:t>
      </w:r>
      <w:r>
        <w:rPr>
          <w:b/>
          <w:rFonts w:cs="Calibri"/>
        </w:rPr>
        <w:t xml:space="preserve">while </w:t>
      </w:r>
      <w:r>
        <w:rPr>
          <w:rFonts w:cs="Calibri"/>
        </w:rPr>
        <w:t xml:space="preserve">b </w:t>
      </w:r>
      <w:r>
        <w:rPr>
          <w:b/>
          <w:rFonts w:cs="Calibri"/>
        </w:rPr>
        <w:t xml:space="preserve"> do </w:t>
      </w:r>
      <w:r>
        <w:rPr>
          <w:rFonts w:cs="Calibri"/>
        </w:rPr>
        <w:t xml:space="preserve">c,σ›. Por lo tanto, la única otra regla que se podría aplicar es WHILE2, pero como [[b]]boolexp -&gt; </w:t>
      </w:r>
      <w:r>
        <w:rPr>
          <w:b/>
          <w:rFonts w:cs="Calibri"/>
        </w:rPr>
        <w:t>true</w:t>
      </w:r>
      <w:r>
        <w:rPr>
          <w:rFonts w:cs="Calibri"/>
        </w:rPr>
        <w:t xml:space="preserve">  tenemos que esta es la única regla que se puede aplicar</w:t>
      </w:r>
      <w:r>
        <w:rPr/>
        <w:t>. Luego,  t’=</w:t>
      </w:r>
      <w:r>
        <w:rPr>
          <w:rFonts w:cs="Calibri"/>
        </w:rPr>
        <w:t>‹c;</w:t>
      </w:r>
      <w:r>
        <w:rPr>
          <w:b/>
          <w:rFonts w:cs="Calibri"/>
        </w:rPr>
        <w:t xml:space="preserve">while </w:t>
      </w:r>
      <w:r>
        <w:rPr>
          <w:rFonts w:cs="Calibri"/>
        </w:rPr>
        <w:t xml:space="preserve">b </w:t>
      </w:r>
      <w:r>
        <w:rPr>
          <w:b/>
          <w:rFonts w:cs="Calibri"/>
        </w:rPr>
        <w:t xml:space="preserve"> do </w:t>
      </w:r>
      <w:r>
        <w:rPr>
          <w:rFonts w:cs="Calibri"/>
        </w:rPr>
        <w:t>c,σ›=t’’.</w:t>
      </w:r>
    </w:p>
    <w:p>
      <w:pPr>
        <w:pStyle w:val="style0"/>
      </w:pPr>
      <w:r>
        <w:rPr>
          <w:rFonts w:cs="Calibri"/>
        </w:rPr>
        <w:t>*Si la última regla utilizada es SEQ2, IF2 o WHILE2, el razonamiento es análogo.</w:t>
      </w:r>
    </w:p>
    <w:p>
      <w:pPr>
        <w:pStyle w:val="style0"/>
      </w:pPr>
      <w:r>
        <w:rPr/>
        <w:t>GRAMATICA ABSTRACTA:</w:t>
      </w:r>
    </w:p>
    <w:sectPr>
      <w:formProt w:val="off"/>
      <w:pgSz w:h="15840" w:w="12240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s-AR"/>
    </w:rPr>
  </w:style>
  <w:style w:styleId="style15" w:type="character">
    <w:name w:val="Default Paragraph Font"/>
    <w:next w:val="style15"/>
    <w:rPr/>
  </w:style>
  <w:style w:styleId="style16" w:type="paragraph">
    <w:name w:val="Encabezado"/>
    <w:basedOn w:val="style0"/>
    <w:next w:val="style17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7" w:type="paragraph">
    <w:name w:val="Cue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/>
  </w:style>
  <w:style w:styleId="style19" w:type="paragraph">
    <w:name w:val="Etiqueta"/>
    <w:basedOn w:val="style0"/>
    <w:next w:val="style19"/>
    <w:pPr>
      <w:suppressLineNumbers/>
      <w:spacing w:after="120" w:before="120"/>
    </w:pPr>
    <w:rPr>
      <w:sz w:val="24"/>
      <w:i/>
      <w:szCs w:val="24"/>
      <w:iCs/>
    </w:rPr>
  </w:style>
  <w:style w:styleId="style20" w:type="paragraph">
    <w:name w:val="Índice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2014-08-27T01:04:00.00Z</dcterms:created>
  <dc:creator>Margarita Capretto</dc:creator>
  <cp:lastModifiedBy>Margarita Capretto</cp:lastModifiedBy>
  <dcterms:modified xsi:type="dcterms:W3CDTF">2014-08-27T01:49:00.00Z</dcterms:modified>
  <cp:revision>2</cp:revision>
</cp:coreProperties>
</file>