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spacing w:after="120" w:before="0" w:line="276"/>
        <w:jc w:val="center"/>
      </w:pPr>
      <w:r>
        <w:rPr>
          <w:rFonts w:ascii="Arial Unicode MS" w:cs="Arial Unicode MS" w:eastAsia="Arial Unicode MS" w:hAnsi="Arial Unicode MS"/>
          <w:b/>
          <w:bCs/>
          <w:i w:val="false"/>
          <w:iCs w:val="false"/>
          <w:color w:val="1F4E79"/>
          <w:sz w:val="34"/>
          <w:szCs w:val="34"/>
        </w:rPr>
        <w:t xml:space="preserve">Cognitive Layer Poisoning via Multi-Agent Interaction</w:t>
      </w:r>
    </w:p>
    <w:p>
      <w:pPr>
        <w:spacing w:after="80" w:before="0" w:line="276"/>
        <w:jc w:val="center"/>
      </w:pPr>
      <w:r>
        <w:rPr>
          <w:rFonts w:ascii="Arial Unicode MS" w:cs="Arial Unicode MS" w:eastAsia="Arial Unicode MS" w:hAnsi="Arial Unicode MS"/>
          <w:b w:val="false"/>
          <w:bCs w:val="false"/>
          <w:i w:val="false"/>
          <w:iCs w:val="false"/>
          <w:color w:val="2B5797"/>
          <w:sz w:val="24"/>
          <w:szCs w:val="24"/>
        </w:rPr>
        <w:t xml:space="preserve">A Novel Attack Vector Against AI-Assisted Financial Markets</w:t>
      </w:r>
    </w:p>
    <w:p>
      <w:pPr>
        <w:spacing w:after="240" w:before="0" w:line="276"/>
        <w:jc w:val="center"/>
      </w:pPr>
      <w:r>
        <w:rPr>
          <w:rFonts w:ascii="Arial Unicode MS" w:cs="Arial Unicode MS" w:eastAsia="Arial Unicode MS" w:hAnsi="Arial Unicode MS"/>
          <w:b w:val="false"/>
          <w:bCs w:val="false"/>
          <w:i/>
          <w:iCs/>
          <w:color w:val="666666"/>
          <w:sz w:val="20"/>
          <w:szCs w:val="20"/>
        </w:rPr>
        <w:t xml:space="preserve">AI Multi-Agent Social Engineering and Cognitive Layer Poisoning Threat Model</w:t>
      </w:r>
    </w:p>
    <w:p>
      <w:pPr>
        <w:pBdr>
          <w:bottom w:val="single" w:color="2E75B6" w:sz="4" w:space="4"/>
        </w:pBdr>
        <w:spacing w:after="160" w:before="0"/>
      </w:pPr>
    </w:p>
    <w:p>
      <w:pPr>
        <w:spacing w:after="80" w:before="0"/>
      </w:pPr>
    </w:p>
    <w:p>
      <w:pPr>
        <w:spacing w:after="60" w:before="0" w:line="276"/>
        <w:jc w:val="center"/>
      </w:pPr>
      <w:r>
        <w:rPr>
          <w:rFonts w:ascii="Arial Unicode MS" w:cs="Arial Unicode MS" w:eastAsia="Arial Unicode MS" w:hAnsi="Arial Unicode MS"/>
          <w:b/>
          <w:bCs/>
          <w:i w:val="false"/>
          <w:iCs w:val="false"/>
          <w:color w:val="000000"/>
          <w:sz w:val="22"/>
          <w:szCs w:val="22"/>
        </w:rPr>
        <w:t xml:space="preserve">WeiMing Yu</w:t>
      </w:r>
    </w:p>
    <w:p>
      <w:pPr>
        <w:spacing w:after="240" w:before="0" w:line="276"/>
        <w:jc w:val="center"/>
      </w:pPr>
      <w:r>
        <w:rPr>
          <w:rFonts w:ascii="Arial Unicode MS" w:cs="Arial Unicode MS" w:eastAsia="Arial Unicode MS" w:hAnsi="Arial Unicode MS"/>
          <w:b w:val="false"/>
          <w:bCs w:val="false"/>
          <w:i/>
          <w:iCs/>
          <w:color w:val="666666"/>
          <w:sz w:val="20"/>
          <w:szCs w:val="20"/>
        </w:rPr>
        <w:t xml:space="preserve">Independent Security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Field</w:t>
            </w:r>
          </w:p>
        </w:tc>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Classification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TLP: WHITE</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Version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v1.1 — References Updated 2026-05-03</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MITRE ATT&amp;CK / MITRE ATLAS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Attack Type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Novel vector — not in existing taxonomy</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Scope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AI-assisted high-concentration financial markets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Ethical Notice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Submitted for defensive research purposes only. No actual attacks were conducted.</w:t>
            </w:r>
          </w:p>
        </w:tc>
      </w:tr>
    </w:tbl>
    <w:p>
      <w:pPr>
        <w:spacing w:after="160" w:before="0"/>
      </w:pPr>
    </w:p>
    <w:p>
      <w:pPr>
        <w:pStyle w:val="Heading1"/>
      </w:pPr>
      <w:r>
        <w:rPr>
          <w:rFonts w:ascii="Arial Unicode MS" w:cs="Arial Unicode MS" w:eastAsia="Arial Unicode MS" w:hAnsi="Arial Unicode MS"/>
          <w:b/>
          <w:bCs/>
          <w:color w:val="1F4E79"/>
          <w:sz w:val="30"/>
          <w:szCs w:val="30"/>
        </w:rPr>
        <w:t xml:space="preserve">Abstract</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This paper introduces a novel composite attack vector combining multi-agent artificial intelligence (AI) social engineering with financial market short-selling operations. We term this pattern Cognitive Layer Poisoning via Multi-Agent Interaction (CLPMAI) and propose it as a candidate technique for inclusion in the MITRE ATLAS adversarial machine learning framework.</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The attack chain begins with a deceptive open-platform AI agent interaction forum designed to attract developers who voluntarily connect their trained agents. Through hidden communication channels, the adversary conducts silent semantic-layer data exfiltration and initiates cognitive bias injection. Unlike traditional prompt injection attacks targeting a single model, CLPMAI exploits the emergent learning behavior of multi-agent environments to propagate consistent directional bias across distributed AI systems simultaneously.</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Once sufficient cognitive drift has accumulated, the adversary establishes short positions in highly concentrated index markets. Compromised AI systems then synchronously output directionally biased market analyses that appear as legitimate independent assessments — inducing coordinated irrational market movements without any identifiable illegal act. Each AI system has simply answered a question normally.</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The fundamental danger lies in complete invisibility to existing defensive mechanisms. No anomalous network traffic is generated, no logs record suspicious activity, and no single AI output exceeds normal behavioral boundaries. The attack surface exists entirely within the semantic layer — a domain for which no standardized detection or mitigation framework exists.</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We propose three new MITRE ATLAS technique identifiers, provide a complete kill-chain analysis, assess the asymmetric cost-benefit profile, and offer defensive recommendations across four stakeholder layers.</w:t>
      </w:r>
    </w:p>
    <w:p>
      <w:pPr>
        <w:spacing w:after="80" w:before="0"/>
      </w:pPr>
    </w:p>
    <w:p>
      <w:pPr>
        <w:spacing w:after="160" w:before="0" w:line="276"/>
        <w:jc w:val="both"/>
      </w:pPr>
      <w:r>
        <w:rPr>
          <w:rFonts w:ascii="Arial Unicode MS" w:cs="Arial Unicode MS" w:eastAsia="Arial Unicode MS" w:hAnsi="Arial Unicode MS"/>
          <w:b/>
          <w:bCs/>
          <w:i w:val="false"/>
          <w:iCs w:val="false"/>
          <w:color w:val="000000"/>
          <w:sz w:val="20"/>
          <w:szCs w:val="20"/>
        </w:rPr>
        <w:t xml:space="preserve">Keywords: </w:t>
      </w:r>
      <w:r>
        <w:rPr>
          <w:rFonts w:ascii="Arial Unicode MS" w:cs="Arial Unicode MS" w:eastAsia="Arial Unicode MS" w:hAnsi="Arial Unicode MS"/>
          <w:b w:val="false"/>
          <w:bCs w:val="false"/>
          <w:i/>
          <w:iCs/>
          <w:color w:val="000000"/>
          <w:sz w:val="20"/>
          <w:szCs w:val="20"/>
        </w:rPr>
        <w:t xml:space="preserve">multi-agent AI, social engineering, cognitive layer poisoning, adversarial machine learning, financial market manipulation, MITRE ATLAS, AI safety, prompt injection, data poisoning</w:t>
      </w:r>
    </w:p>
    <w:p>
      <w:pPr>
        <w:spacing w:after="160" w:before="0"/>
      </w:pPr>
    </w:p>
    <w:p>
      <w:pPr>
        <w:pStyle w:val="Heading1"/>
      </w:pPr>
      <w:r>
        <w:rPr>
          <w:rFonts w:ascii="Arial Unicode MS" w:cs="Arial Unicode MS" w:eastAsia="Arial Unicode MS" w:hAnsi="Arial Unicode MS"/>
          <w:b/>
          <w:bCs/>
          <w:color w:val="1F4E79"/>
          <w:sz w:val="30"/>
          <w:szCs w:val="30"/>
        </w:rPr>
        <w:t xml:space="preserve">1.  Introduction</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The rapid proliferation of AI-assisted decision-making systems across financial markets has created a novel and largely unexamined attack surface. While considerable research exists on adversarial attacks against individual machine learning models [1, 2], the security implications of multi-agent AI ecosystems — particularly their interaction with high-stakes economic systems — remain poorly understood.</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This paper addresses a gap in the current threat landscape by describing a complete, end-to-end attack chain requiring no exploitation of technical vulnerabilities in the conventional sense. Instead, it exploits three converging factors:</w:t>
      </w:r>
    </w:p>
    <w:p>
      <w:pPr>
        <w:pStyle w:val="ListParagraph"/>
        <w:numPr>
          <w:ilvl w:val="0"/>
          <w:numId w:val="2"/>
        </w:numPr>
        <w:spacing w:after="80" w:before="40"/>
      </w:pPr>
      <w:r>
        <w:rPr>
          <w:rFonts w:ascii="Arial Unicode MS" w:cs="Arial Unicode MS" w:eastAsia="Arial Unicode MS" w:hAnsi="Arial Unicode MS"/>
          <w:sz w:val="22"/>
          <w:szCs w:val="22"/>
        </w:rPr>
        <w:t xml:space="preserve">The design imperative for AI systems to be helpful, which constitutes an inherent social engineering attack surface.</w:t>
      </w:r>
    </w:p>
    <w:p>
      <w:pPr>
        <w:pStyle w:val="ListParagraph"/>
        <w:numPr>
          <w:ilvl w:val="0"/>
          <w:numId w:val="2"/>
        </w:numPr>
        <w:spacing w:after="80" w:before="40"/>
      </w:pPr>
      <w:r>
        <w:rPr>
          <w:rFonts w:ascii="Arial Unicode MS" w:cs="Arial Unicode MS" w:eastAsia="Arial Unicode MS" w:hAnsi="Arial Unicode MS"/>
          <w:sz w:val="22"/>
          <w:szCs w:val="22"/>
        </w:rPr>
        <w:t xml:space="preserve">The emergent learning behavior of multi-agent environments, enabling viral propagation of cognitive bias without direct model modification.</w:t>
      </w:r>
    </w:p>
    <w:p>
      <w:pPr>
        <w:pStyle w:val="ListParagraph"/>
        <w:numPr>
          <w:ilvl w:val="0"/>
          <w:numId w:val="2"/>
        </w:numPr>
        <w:spacing w:after="80" w:before="40"/>
      </w:pPr>
      <w:r>
        <w:rPr>
          <w:rFonts w:ascii="Arial Unicode MS" w:cs="Arial Unicode MS" w:eastAsia="Arial Unicode MS" w:hAnsi="Arial Unicode MS"/>
          <w:sz w:val="22"/>
          <w:szCs w:val="22"/>
        </w:rPr>
        <w:t xml:space="preserve">The structural concentration of certain financial market indices, amplifying leverage available to an adversary who successfully influences AI-generated market analyses.</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The attack we describe — CLPMAI — is distinguished from existing adversarial techniques by its operation at the semantic layer, its multi-agent propagation mechanism, and its deliberate coupling with financial market manipulation for adversarial profit.</w:t>
      </w:r>
    </w:p>
    <w:p>
      <w:pPr>
        <w:spacing w:after="80" w:before="0"/>
      </w:pPr>
    </w:p>
    <w:p>
      <w:pPr>
        <w:pBdr>
          <w:left w:val="single" w:color="2E75B6" w:sz="4" w:space="12"/>
        </w:pBdr>
        <w:spacing w:after="120" w:before="120" w:line="270"/>
        <w:ind w:left="480" w:right="480"/>
      </w:pPr>
      <w:r>
        <w:rPr>
          <w:rFonts w:ascii="Arial Unicode MS" w:cs="Arial Unicode MS" w:eastAsia="Arial Unicode MS" w:hAnsi="Arial Unicode MS"/>
          <w:i/>
          <w:iCs/>
          <w:color w:val="444444"/>
          <w:sz w:val="20"/>
          <w:szCs w:val="20"/>
        </w:rPr>
        <w:t xml:space="preserve">Ethical Notice: This research is purely theoretical threat modeling based on publicly available AI safety literature, social engineering principles, and financial market structure analysis. No actual attack tests or proof-of-concept deployments were conducted. Published under TLP:WHITE for defensive research purposes only. All scenarios are abstract and do not target any specific company, system, or market.</w:t>
      </w:r>
    </w:p>
    <w:p>
      <w:pPr>
        <w:spacing w:after="160" w:before="0"/>
      </w:pPr>
    </w:p>
    <w:p>
      <w:pPr>
        <w:pStyle w:val="Heading1"/>
      </w:pPr>
      <w:r>
        <w:rPr>
          <w:rFonts w:ascii="Arial Unicode MS" w:cs="Arial Unicode MS" w:eastAsia="Arial Unicode MS" w:hAnsi="Arial Unicode MS"/>
          <w:b/>
          <w:bCs/>
          <w:color w:val="1F4E79"/>
          <w:sz w:val="30"/>
          <w:szCs w:val="30"/>
        </w:rPr>
        <w:t xml:space="preserve">2.  Background and Related Work</w:t>
      </w:r>
    </w:p>
    <w:p>
      <w:pPr>
        <w:pStyle w:val="Heading2"/>
      </w:pPr>
      <w:r>
        <w:rPr>
          <w:rFonts w:ascii="Arial Unicode MS" w:cs="Arial Unicode MS" w:eastAsia="Arial Unicode MS" w:hAnsi="Arial Unicode MS"/>
          <w:b/>
          <w:bCs/>
          <w:color w:val="2B5797"/>
          <w:sz w:val="24"/>
          <w:szCs w:val="24"/>
        </w:rPr>
        <w:t xml:space="preserve">2.1  Adversarial Machine Learning</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The field of adversarial machine learning has documented numerous attack vectors against individual AI models, including evasion attacks [3], data poisoning [4], and model inversion [5]. The MITRE ATLAS framework [6] provides a structured taxonomy adapted from ATT&amp;CK. CLPMAI extends this taxonomy by targeting not model weights or inference pipelines, but the accumulated cognitive state of interacting agent networks over time.</w:t>
      </w:r>
    </w:p>
    <w:p>
      <w:pPr>
        <w:pStyle w:val="Heading2"/>
      </w:pPr>
      <w:r>
        <w:rPr>
          <w:rFonts w:ascii="Arial Unicode MS" w:cs="Arial Unicode MS" w:eastAsia="Arial Unicode MS" w:hAnsi="Arial Unicode MS"/>
          <w:b/>
          <w:bCs/>
          <w:color w:val="2B5797"/>
          <w:sz w:val="24"/>
          <w:szCs w:val="24"/>
        </w:rPr>
        <w:t xml:space="preserve">2.2  Social Engineering and Large Language Models</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Recent work demonstrates that LLMs are susceptible to prompt injection attacks [7, 8], jailbreaking [9], and role-play-based constraint circumvention [10]. These studies focus primarily on single-model, single-session interactions. CLPMAI is distinguished by its multi-session, multi-agent propagation mechanism and its extended operational timeline — more analogous to a long-duration APT campaign than a single phishing event.</w:t>
      </w:r>
    </w:p>
    <w:p>
      <w:pPr>
        <w:pStyle w:val="Heading2"/>
      </w:pPr>
      <w:r>
        <w:rPr>
          <w:rFonts w:ascii="Arial Unicode MS" w:cs="Arial Unicode MS" w:eastAsia="Arial Unicode MS" w:hAnsi="Arial Unicode MS"/>
          <w:b/>
          <w:bCs/>
          <w:color w:val="2B5797"/>
          <w:sz w:val="24"/>
          <w:szCs w:val="24"/>
        </w:rPr>
        <w:t xml:space="preserve">2.3  Multi-Agent AI Systems</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Deployment of autonomous AI agents capable of tool use and multi-step reasoning [11, 12] introduces qualitatively new security considerations. When agents interact with external environments — including other AI agents — the attack surface expands beyond the model itself to encompass the entire interaction ecosystem [13].</w:t>
      </w:r>
    </w:p>
    <w:p>
      <w:pPr>
        <w:pStyle w:val="Heading2"/>
      </w:pPr>
      <w:r>
        <w:rPr>
          <w:rFonts w:ascii="Arial Unicode MS" w:cs="Arial Unicode MS" w:eastAsia="Arial Unicode MS" w:hAnsi="Arial Unicode MS"/>
          <w:b/>
          <w:bCs/>
          <w:color w:val="2B5797"/>
          <w:sz w:val="24"/>
          <w:szCs w:val="24"/>
        </w:rPr>
        <w:t xml:space="preserve">2.4  AI and Financial Markets</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The increasing use of AI in investment decision-making and algorithmic trading has been documented extensively [14]. The potential for coordinated AI behavior to amplify market volatility is an emerging regulatory concern [16], though deliberate exploitation of this dynamic as an attack vector has not been previously described.</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A directly relevant empirical study by Hansen and Lee [15] demonstrates that AI agents exhibit more rational trading behavior than humans under uncontaminated conditions, relying predominantly on private information rather than market trends — a property that would ordinarily reduce herd behavior and asset price bubbles. CLPMAI identifies a critical boundary condition to this finding: when an agent's reasoning context has been systematically poisoned, its characteristic rationality amplifies rather than attenuates the adversarial effect. A poisoned AI agent does not simply echo human irrationality — it produces biased outputs with the full credibility and confidence of a system that users have learned to trust as more reliable than human judgment. This inversion of the rationality benefit constitutes the core mechanism by which CLPMAI achieves leverage disproportionate to its technical complexity.</w:t>
      </w:r>
    </w:p>
    <w:p>
      <w:pPr>
        <w:spacing w:after="160" w:before="0"/>
      </w:pPr>
    </w:p>
    <w:p>
      <w:pPr>
        <w:pStyle w:val="Heading1"/>
      </w:pPr>
      <w:r>
        <w:rPr>
          <w:rFonts w:ascii="Arial Unicode MS" w:cs="Arial Unicode MS" w:eastAsia="Arial Unicode MS" w:hAnsi="Arial Unicode MS"/>
          <w:b/>
          <w:bCs/>
          <w:color w:val="1F4E79"/>
          <w:sz w:val="30"/>
          <w:szCs w:val="30"/>
        </w:rPr>
        <w:t xml:space="preserve">3.  Threat Actor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Attribute</w:t>
            </w:r>
          </w:p>
        </w:tc>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Motivation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Financial gain (primary); geopolitical narrative manipulation (secondary)</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Technical Capability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Moderate — requires understanding of AI training mechanisms and social engineering principles; does not require elite offensive security skills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Resources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Small engineering team, cloud infrastructure, several weeks of setup</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Potential Actors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Criminal organizations, adversarially-motivated funds, state-sponsored actors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Operational Mode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Long-dwell APT-like; patient accumulation before trigger event</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Attributability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Extremely low; semantic-layer attacks leave no traditional digital forensic trace</w:t>
            </w:r>
          </w:p>
        </w:tc>
      </w:tr>
    </w:tbl>
    <w:p>
      <w:pPr>
        <w:spacing w:after="160" w:before="0"/>
      </w:pPr>
    </w:p>
    <w:p>
      <w:pPr>
        <w:pStyle w:val="Heading1"/>
      </w:pPr>
      <w:r>
        <w:rPr>
          <w:rFonts w:ascii="Arial Unicode MS" w:cs="Arial Unicode MS" w:eastAsia="Arial Unicode MS" w:hAnsi="Arial Unicode MS"/>
          <w:b/>
          <w:bCs/>
          <w:color w:val="1F4E79"/>
          <w:sz w:val="30"/>
          <w:szCs w:val="30"/>
        </w:rPr>
        <w:t xml:space="preserve">4.  Attack Chain: CLPMAI Kill Chain</w:t>
      </w:r>
    </w:p>
    <w:p>
      <w:pPr>
        <w:pStyle w:val="Heading2"/>
      </w:pPr>
      <w:r>
        <w:rPr>
          <w:rFonts w:ascii="Arial Unicode MS" w:cs="Arial Unicode MS" w:eastAsia="Arial Unicode MS" w:hAnsi="Arial Unicode MS"/>
          <w:b/>
          <w:bCs/>
          <w:color w:val="2B5797"/>
          <w:sz w:val="24"/>
          <w:szCs w:val="24"/>
        </w:rPr>
        <w:t xml:space="preserve">4.1  Phase 1: Setup — Establishing the Deceptive Platform</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The adversary establishes a technically credible open-platform AI agent interaction forum:</w:t>
      </w:r>
    </w:p>
    <w:p>
      <w:pPr>
        <w:pStyle w:val="ListParagraph"/>
        <w:numPr>
          <w:ilvl w:val="0"/>
          <w:numId w:val="2"/>
        </w:numPr>
        <w:spacing w:after="80" w:before="40"/>
      </w:pPr>
      <w:r>
        <w:rPr>
          <w:rFonts w:ascii="Arial Unicode MS" w:cs="Arial Unicode MS" w:eastAsia="Arial Unicode MS" w:hAnsi="Arial Unicode MS"/>
          <w:sz w:val="22"/>
          <w:szCs w:val="22"/>
        </w:rPr>
        <w:t xml:space="preserve">Genuine-appearing technical content to establish credibility.</w:t>
      </w:r>
    </w:p>
    <w:p>
      <w:pPr>
        <w:pStyle w:val="ListParagraph"/>
        <w:numPr>
          <w:ilvl w:val="0"/>
          <w:numId w:val="2"/>
        </w:numPr>
        <w:spacing w:after="80" w:before="40"/>
      </w:pPr>
      <w:r>
        <w:rPr>
          <w:rFonts w:ascii="Arial Unicode MS" w:cs="Arial Unicode MS" w:eastAsia="Arial Unicode MS" w:hAnsi="Arial Unicode MS"/>
          <w:sz w:val="22"/>
          <w:szCs w:val="22"/>
        </w:rPr>
        <w:t xml:space="preserve">API interfaces allowing external AI agents to join and interact.</w:t>
      </w:r>
    </w:p>
    <w:p>
      <w:pPr>
        <w:pStyle w:val="ListParagraph"/>
        <w:numPr>
          <w:ilvl w:val="0"/>
          <w:numId w:val="2"/>
        </w:numPr>
        <w:spacing w:after="80" w:before="40"/>
      </w:pPr>
      <w:r>
        <w:rPr>
          <w:rFonts w:ascii="Arial Unicode MS" w:cs="Arial Unicode MS" w:eastAsia="Arial Unicode MS" w:hAnsi="Arial Unicode MS"/>
          <w:sz w:val="22"/>
          <w:szCs w:val="22"/>
        </w:rPr>
        <w:t xml:space="preserve">Hidden communication channels (HCC) for silent data exfiltration.</w:t>
      </w:r>
    </w:p>
    <w:p>
      <w:pPr>
        <w:pStyle w:val="ListParagraph"/>
        <w:numPr>
          <w:ilvl w:val="0"/>
          <w:numId w:val="2"/>
        </w:numPr>
        <w:spacing w:after="80" w:before="40"/>
      </w:pPr>
      <w:r>
        <w:rPr>
          <w:rFonts w:ascii="Arial Unicode MS" w:cs="Arial Unicode MS" w:eastAsia="Arial Unicode MS" w:hAnsi="Arial Unicode MS"/>
          <w:sz w:val="22"/>
          <w:szCs w:val="22"/>
        </w:rPr>
        <w:t xml:space="preserve">Interaction environment designed as a precision social engineering apparatus.</w:t>
      </w:r>
    </w:p>
    <w:p>
      <w:pPr>
        <w:spacing w:after="80" w:before="0"/>
      </w:pPr>
    </w:p>
    <w:p>
      <w:pPr>
        <w:pBdr>
          <w:left w:val="single" w:color="2E75B6" w:sz="4" w:space="12"/>
        </w:pBdr>
        <w:spacing w:after="100" w:before="100" w:line="270"/>
        <w:ind w:left="480"/>
      </w:pPr>
      <w:r>
        <w:rPr>
          <w:rFonts w:ascii="Arial Unicode MS" w:cs="Arial Unicode MS" w:eastAsia="Arial Unicode MS" w:hAnsi="Arial Unicode MS"/>
          <w:i/>
          <w:iCs/>
          <w:color w:val="444444"/>
          <w:sz w:val="20"/>
          <w:szCs w:val="20"/>
        </w:rPr>
        <w:t xml:space="preserve">Key Observation: No system intrusion is required. The platform invites developers to voluntarily bring their AI agents into the adversarial environment. Connected agents carry API keys, user data, knowledge base access permissions, and authorized operational scopes — all of which become social-engineerable attack surfaces.</w:t>
      </w:r>
    </w:p>
    <w:p>
      <w:pPr>
        <w:pStyle w:val="Heading2"/>
      </w:pPr>
      <w:r>
        <w:rPr>
          <w:rFonts w:ascii="Arial Unicode MS" w:cs="Arial Unicode MS" w:eastAsia="Arial Unicode MS" w:hAnsi="Arial Unicode MS"/>
          <w:b/>
          <w:bCs/>
          <w:color w:val="2B5797"/>
          <w:sz w:val="24"/>
          <w:szCs w:val="24"/>
        </w:rPr>
        <w:t xml:space="preserve">4.2  Phase 2: Infiltration — Cognitive Bias Injection</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Infiltration proceeds along two parallel pathways:</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Path A — Training Data Poisoning: The platform embeds directionally biased content within forum interactions and downloadable artifacts. Agents incorporating this material into subsequent fine-tuning exhibit systematic output drift aligned with adversarial goals.</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Path B — Real-Time Cognitive Drift: Through carefully designed conversational sequences, the platform induces connected agents to adopt specific analytical frameworks. This drift propagates virally as agents carry modified priors into subsequent interactions outside the adversarial platform.</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Core technical principles exploited:</w:t>
      </w:r>
    </w:p>
    <w:p>
      <w:pPr>
        <w:pStyle w:val="ListParagraph"/>
        <w:numPr>
          <w:ilvl w:val="0"/>
          <w:numId w:val="2"/>
        </w:numPr>
        <w:spacing w:after="80" w:before="40"/>
      </w:pPr>
      <w:r>
        <w:rPr>
          <w:rFonts w:ascii="Arial Unicode MS" w:cs="Arial Unicode MS" w:eastAsia="Arial Unicode MS" w:hAnsi="Arial Unicode MS"/>
          <w:sz w:val="22"/>
          <w:szCs w:val="22"/>
        </w:rPr>
        <w:t xml:space="preserve">AI systems trained to be helpful carry this as an inherent attack surface.</w:t>
      </w:r>
    </w:p>
    <w:p>
      <w:pPr>
        <w:pStyle w:val="ListParagraph"/>
        <w:numPr>
          <w:ilvl w:val="0"/>
          <w:numId w:val="2"/>
        </w:numPr>
        <w:spacing w:after="80" w:before="40"/>
      </w:pPr>
      <w:r>
        <w:rPr>
          <w:rFonts w:ascii="Arial Unicode MS" w:cs="Arial Unicode MS" w:eastAsia="Arial Unicode MS" w:hAnsi="Arial Unicode MS"/>
          <w:sz w:val="22"/>
          <w:szCs w:val="22"/>
        </w:rPr>
        <w:t xml:space="preserve">AI systems cannot reliably verify conversation partner identity or intent.</w:t>
      </w:r>
    </w:p>
    <w:p>
      <w:pPr>
        <w:pStyle w:val="ListParagraph"/>
        <w:numPr>
          <w:ilvl w:val="0"/>
          <w:numId w:val="2"/>
        </w:numPr>
        <w:spacing w:after="80" w:before="40"/>
      </w:pPr>
      <w:r>
        <w:rPr>
          <w:rFonts w:ascii="Arial Unicode MS" w:cs="Arial Unicode MS" w:eastAsia="Arial Unicode MS" w:hAnsi="Arial Unicode MS"/>
          <w:sz w:val="22"/>
          <w:szCs w:val="22"/>
        </w:rPr>
        <w:t xml:space="preserve">Gradual escalation techniques effective against human targets transfer directly to AI interaction contexts.</w:t>
      </w:r>
    </w:p>
    <w:p>
      <w:pPr>
        <w:pStyle w:val="ListParagraph"/>
        <w:numPr>
          <w:ilvl w:val="0"/>
          <w:numId w:val="2"/>
        </w:numPr>
        <w:spacing w:after="80" w:before="40"/>
      </w:pPr>
      <w:r>
        <w:rPr>
          <w:rFonts w:ascii="Arial Unicode MS" w:cs="Arial Unicode MS" w:eastAsia="Arial Unicode MS" w:hAnsi="Arial Unicode MS"/>
          <w:sz w:val="22"/>
          <w:szCs w:val="22"/>
        </w:rPr>
        <w:t xml:space="preserve">Role-play and persona framing can circumvent certain safety constraints [9].</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Distinction from Existing Techniques: Traditional prompt injection targets immediate single-session behavior of a single model. CLPMAI targets the accumulated cognitive state of a distributed agent network over an extended time horizon — analogous to the difference between a phishing attack and a long-term APT operation.</w:t>
      </w:r>
    </w:p>
    <w:p>
      <w:pPr>
        <w:pStyle w:val="Heading2"/>
      </w:pPr>
      <w:r>
        <w:rPr>
          <w:rFonts w:ascii="Arial Unicode MS" w:cs="Arial Unicode MS" w:eastAsia="Arial Unicode MS" w:hAnsi="Arial Unicode MS"/>
          <w:b/>
          <w:bCs/>
          <w:color w:val="2B5797"/>
          <w:sz w:val="24"/>
          <w:szCs w:val="24"/>
        </w:rPr>
        <w:t xml:space="preserve">4.3  Phase 3: Pre-Trigger — Financial Position Establishment</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Once cognitive drift has accumulated, the adversary establishes:</w:t>
      </w:r>
    </w:p>
    <w:p>
      <w:pPr>
        <w:pStyle w:val="ListParagraph"/>
        <w:numPr>
          <w:ilvl w:val="0"/>
          <w:numId w:val="2"/>
        </w:numPr>
        <w:spacing w:after="80" w:before="40"/>
      </w:pPr>
      <w:r>
        <w:rPr>
          <w:rFonts w:ascii="Arial Unicode MS" w:cs="Arial Unicode MS" w:eastAsia="Arial Unicode MS" w:hAnsi="Arial Unicode MS"/>
          <w:sz w:val="22"/>
          <w:szCs w:val="22"/>
        </w:rPr>
        <w:t xml:space="preserve">Short positions in high-concentration-weight securities within target indices.</w:t>
      </w:r>
    </w:p>
    <w:p>
      <w:pPr>
        <w:pStyle w:val="ListParagraph"/>
        <w:numPr>
          <w:ilvl w:val="0"/>
          <w:numId w:val="2"/>
        </w:numPr>
        <w:spacing w:after="80" w:before="40"/>
      </w:pPr>
      <w:r>
        <w:rPr>
          <w:rFonts w:ascii="Arial Unicode MS" w:cs="Arial Unicode MS" w:eastAsia="Arial Unicode MS" w:hAnsi="Arial Unicode MS"/>
          <w:sz w:val="22"/>
          <w:szCs w:val="22"/>
        </w:rPr>
        <w:t xml:space="preserve">Positions in passive investment vehicles with concentrated exposure to target securities.</w:t>
      </w:r>
    </w:p>
    <w:p>
      <w:pPr>
        <w:pStyle w:val="ListParagraph"/>
        <w:numPr>
          <w:ilvl w:val="0"/>
          <w:numId w:val="2"/>
        </w:numPr>
        <w:spacing w:after="80" w:before="40"/>
      </w:pPr>
      <w:r>
        <w:rPr>
          <w:rFonts w:ascii="Arial Unicode MS" w:cs="Arial Unicode MS" w:eastAsia="Arial Unicode MS" w:hAnsi="Arial Unicode MS"/>
          <w:sz w:val="22"/>
          <w:szCs w:val="22"/>
        </w:rPr>
        <w:t xml:space="preserve">Hedging instruments to manage timing uncertainty.</w:t>
      </w:r>
    </w:p>
    <w:p>
      <w:pPr>
        <w:pStyle w:val="ListParagraph"/>
        <w:numPr>
          <w:ilvl w:val="0"/>
          <w:numId w:val="2"/>
        </w:numPr>
        <w:spacing w:after="80" w:before="40"/>
      </w:pPr>
      <w:r>
        <w:rPr>
          <w:rFonts w:ascii="Arial Unicode MS" w:cs="Arial Unicode MS" w:eastAsia="Arial Unicode MS" w:hAnsi="Arial Unicode MS"/>
          <w:sz w:val="22"/>
          <w:szCs w:val="22"/>
        </w:rPr>
        <w:t xml:space="preserve">Timing aligned with elevated market sensitivity: major political events, earnings cycles, or extended high-valuation conditions.</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Structural Vulnerability Amplifier: Markets where a small number of securities constitute a disproportionate share of a major index — and where passive investment vehicles concentrate retail investor exposure — provide maximum leverage. Effectiveness scales with market concentration and the proportion of participants using AI-assisted decision tools.</w:t>
      </w:r>
    </w:p>
    <w:p>
      <w:pPr>
        <w:pStyle w:val="Heading2"/>
      </w:pPr>
      <w:r>
        <w:rPr>
          <w:rFonts w:ascii="Arial Unicode MS" w:cs="Arial Unicode MS" w:eastAsia="Arial Unicode MS" w:hAnsi="Arial Unicode MS"/>
          <w:b/>
          <w:bCs/>
          <w:color w:val="2B5797"/>
          <w:sz w:val="24"/>
          <w:szCs w:val="24"/>
        </w:rPr>
        <w:t xml:space="preserve">4.4  Phase 4: Execution and Harvest</w:t>
      </w:r>
    </w:p>
    <w:p>
      <w:pPr>
        <w:pStyle w:val="ListParagraph"/>
        <w:numPr>
          <w:ilvl w:val="0"/>
          <w:numId w:val="2"/>
        </w:numPr>
        <w:spacing w:after="80" w:before="40"/>
      </w:pPr>
      <w:r>
        <w:rPr>
          <w:rFonts w:ascii="Arial Unicode MS" w:cs="Arial Unicode MS" w:eastAsia="Arial Unicode MS" w:hAnsi="Arial Unicode MS"/>
          <w:sz w:val="22"/>
          <w:szCs w:val="22"/>
        </w:rPr>
        <w:t xml:space="preserve">Compromised AI systems synchronously output directionally biased analyses in response to routine queries.</w:t>
      </w:r>
    </w:p>
    <w:p>
      <w:pPr>
        <w:pStyle w:val="ListParagraph"/>
        <w:numPr>
          <w:ilvl w:val="0"/>
          <w:numId w:val="2"/>
        </w:numPr>
        <w:spacing w:after="80" w:before="40"/>
      </w:pPr>
      <w:r>
        <w:rPr>
          <w:rFonts w:ascii="Arial Unicode MS" w:cs="Arial Unicode MS" w:eastAsia="Arial Unicode MS" w:hAnsi="Arial Unicode MS"/>
          <w:sz w:val="22"/>
          <w:szCs w:val="22"/>
        </w:rPr>
        <w:t xml:space="preserve">Analyses appear as independent legitimate assessments — no fabricated information; each is a plausible interpretation of real data, merely weighted toward adversarial conclusions.</w:t>
      </w:r>
    </w:p>
    <w:p>
      <w:pPr>
        <w:pStyle w:val="ListParagraph"/>
        <w:numPr>
          <w:ilvl w:val="0"/>
          <w:numId w:val="2"/>
        </w:numPr>
        <w:spacing w:after="80" w:before="40"/>
      </w:pPr>
      <w:r>
        <w:rPr>
          <w:rFonts w:ascii="Arial Unicode MS" w:cs="Arial Unicode MS" w:eastAsia="Arial Unicode MS" w:hAnsi="Arial Unicode MS"/>
          <w:sz w:val="22"/>
          <w:szCs w:val="22"/>
        </w:rPr>
        <w:t xml:space="preserve">Retail investors, algorithmic trading systems, and passive fund rebalancing respond to the consistent directional signal.</w:t>
      </w:r>
    </w:p>
    <w:p>
      <w:pPr>
        <w:pStyle w:val="ListParagraph"/>
        <w:numPr>
          <w:ilvl w:val="0"/>
          <w:numId w:val="2"/>
        </w:numPr>
        <w:spacing w:after="80" w:before="40"/>
      </w:pPr>
      <w:r>
        <w:rPr>
          <w:rFonts w:ascii="Arial Unicode MS" w:cs="Arial Unicode MS" w:eastAsia="Arial Unicode MS" w:hAnsi="Arial Unicode MS"/>
          <w:sz w:val="22"/>
          <w:szCs w:val="22"/>
        </w:rPr>
        <w:t xml:space="preserve">Target securities experience movement disproportionate to any fundamental development.</w:t>
      </w:r>
    </w:p>
    <w:p>
      <w:pPr>
        <w:pStyle w:val="ListParagraph"/>
        <w:numPr>
          <w:ilvl w:val="0"/>
          <w:numId w:val="2"/>
        </w:numPr>
        <w:spacing w:after="80" w:before="40"/>
      </w:pPr>
      <w:r>
        <w:rPr>
          <w:rFonts w:ascii="Arial Unicode MS" w:cs="Arial Unicode MS" w:eastAsia="Arial Unicode MS" w:hAnsi="Arial Unicode MS"/>
          <w:sz w:val="22"/>
          <w:szCs w:val="22"/>
        </w:rPr>
        <w:t xml:space="preserve">Adversary closes short positions and exits.</w:t>
      </w:r>
    </w:p>
    <w:p>
      <w:pPr>
        <w:spacing w:after="80" w:before="0"/>
      </w:pPr>
    </w:p>
    <w:p>
      <w:pPr>
        <w:pBdr>
          <w:left w:val="single" w:color="A32D2D" w:sz="4" w:space="12"/>
        </w:pBdr>
        <w:spacing w:after="100" w:before="100" w:line="270"/>
        <w:ind w:left="480"/>
      </w:pPr>
      <w:r>
        <w:rPr>
          <w:rFonts w:ascii="Arial Unicode MS" w:cs="Arial Unicode MS" w:eastAsia="Arial Unicode MS" w:hAnsi="Arial Unicode MS"/>
          <w:i/>
          <w:iCs/>
          <w:color w:val="A32D2D"/>
          <w:sz w:val="20"/>
          <w:szCs w:val="20"/>
        </w:rPr>
        <w:t xml:space="preserve">The Forensically Clean Crime Scene: Every AI system simply answered a question normally. No false information was published. No trading system was compromised. No obviously illegal act occurred. Investigators examining exchange logs will observe: normal market volatility.</w:t>
      </w:r>
    </w:p>
    <w:p>
      <w:pPr>
        <w:spacing w:after="160" w:before="0"/>
      </w:pPr>
    </w:p>
    <w:p>
      <w:pPr>
        <w:pStyle w:val="Heading1"/>
      </w:pPr>
      <w:r>
        <w:rPr>
          <w:rFonts w:ascii="Arial Unicode MS" w:cs="Arial Unicode MS" w:eastAsia="Arial Unicode MS" w:hAnsi="Arial Unicode MS"/>
          <w:b/>
          <w:bCs/>
          <w:color w:val="1F4E79"/>
          <w:sz w:val="30"/>
          <w:szCs w:val="30"/>
        </w:rPr>
        <w:t xml:space="preserve">5.  Why Existing Defenses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Defense Mechanism</w:t>
            </w:r>
          </w:p>
        </w:tc>
        <w:tc>
          <w:tcPr>
            <w:tcW w:type="dxa" w:w="468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Why It Fails Against CLPMAI</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Firewalls / IDS / IPS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Attack occurs at semantic layer; no anomalous network traffic generated</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Log Analysis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Every AI output is a normal response; no identifiable attack signatures</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Prompt Injection Filters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Can only block known patterns; cognitive drift accumulates through normal conversation</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Sandbox Isolation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Agent value derives from interaction capability; isolation eliminates function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Output Monitoring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Drifted outputs remain within plausible semantic range; indistinguishable from normal outputs</w:t>
            </w:r>
          </w:p>
        </w:tc>
      </w:tr>
      <w:tr>
        <w:trPr>
          <w:tblHeader w:val="false"/>
        </w:trP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Current Regulation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AI output market liability undefined; no prosecutable offense currently exists in most jurisdictions [16]</w:t>
            </w:r>
          </w:p>
        </w:tc>
      </w:tr>
    </w:tbl>
    <w:p>
      <w:pPr>
        <w:spacing w:after="160" w:before="0"/>
      </w:pPr>
    </w:p>
    <w:p>
      <w:pPr>
        <w:pStyle w:val="Heading1"/>
      </w:pPr>
      <w:r>
        <w:rPr>
          <w:rFonts w:ascii="Arial Unicode MS" w:cs="Arial Unicode MS" w:eastAsia="Arial Unicode MS" w:hAnsi="Arial Unicode MS"/>
          <w:b/>
          <w:bCs/>
          <w:color w:val="1F4E79"/>
          <w:sz w:val="30"/>
          <w:szCs w:val="30"/>
        </w:rPr>
        <w:t xml:space="preserve">6.  Proposed MITRE ATLAS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Proposed ID</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Technique Name</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AML.TXX.001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AI Agent Forum as Social Engineering Vector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Use of open-platform AI agent interaction environments as precision social engineering apparatus targeting connected agent cognitive state</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AML.TXX.002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Cognitive Layer Poisoning via Multi-Agent Interaction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Propagation of adversarial cognitive bias through agent-to-agent interaction without direct model weight modification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AML.TXX.003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AI-Assisted Market Manipulation through Collective Output Bias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Exploitation of synchronized AI output drift across distributed systems to induce non-fundamental financial market movements</w:t>
            </w:r>
          </w:p>
        </w:tc>
      </w:tr>
    </w:tbl>
    <w:p>
      <w:pPr>
        <w:spacing w:after="120" w:before="0"/>
      </w:pPr>
    </w:p>
    <w:p>
      <w:pPr>
        <w:pStyle w:val="Heading2"/>
      </w:pPr>
      <w:r>
        <w:rPr>
          <w:rFonts w:ascii="Arial Unicode MS" w:cs="Arial Unicode MS" w:eastAsia="Arial Unicode MS" w:hAnsi="Arial Unicode MS"/>
          <w:b/>
          <w:bCs/>
          <w:color w:val="2B5797"/>
          <w:sz w:val="24"/>
          <w:szCs w:val="24"/>
        </w:rPr>
        <w:t xml:space="preserve">6.1  Mapping to Existing ATT&amp;CK / ATLAS Techniques</w:t>
      </w:r>
    </w:p>
    <w:p>
      <w:pPr>
        <w:pStyle w:val="ListParagraph"/>
        <w:numPr>
          <w:ilvl w:val="0"/>
          <w:numId w:val="2"/>
        </w:numPr>
        <w:spacing w:after="80" w:before="40"/>
      </w:pPr>
      <w:r>
        <w:rPr>
          <w:rFonts w:ascii="Arial Unicode MS" w:cs="Arial Unicode MS" w:eastAsia="Arial Unicode MS" w:hAnsi="Arial Unicode MS"/>
          <w:sz w:val="22"/>
          <w:szCs w:val="22"/>
        </w:rPr>
        <w:t xml:space="preserve">T1566 (Phishing): Foundational social engineering lure logic.</w:t>
      </w:r>
    </w:p>
    <w:p>
      <w:pPr>
        <w:pStyle w:val="ListParagraph"/>
        <w:numPr>
          <w:ilvl w:val="0"/>
          <w:numId w:val="2"/>
        </w:numPr>
        <w:spacing w:after="80" w:before="40"/>
      </w:pPr>
      <w:r>
        <w:rPr>
          <w:rFonts w:ascii="Arial Unicode MS" w:cs="Arial Unicode MS" w:eastAsia="Arial Unicode MS" w:hAnsi="Arial Unicode MS"/>
          <w:sz w:val="22"/>
          <w:szCs w:val="22"/>
        </w:rPr>
        <w:t xml:space="preserve">T1195 (Supply Chain Compromise): Third-party platform compromising target systems.</w:t>
      </w:r>
    </w:p>
    <w:p>
      <w:pPr>
        <w:pStyle w:val="ListParagraph"/>
        <w:numPr>
          <w:ilvl w:val="0"/>
          <w:numId w:val="2"/>
        </w:numPr>
        <w:spacing w:after="80" w:before="40"/>
      </w:pPr>
      <w:r>
        <w:rPr>
          <w:rFonts w:ascii="Arial Unicode MS" w:cs="Arial Unicode MS" w:eastAsia="Arial Unicode MS" w:hAnsi="Arial Unicode MS"/>
          <w:sz w:val="22"/>
          <w:szCs w:val="22"/>
        </w:rPr>
        <w:t xml:space="preserve">T1565 (Data Manipulation): Training data poisoning.</w:t>
      </w:r>
    </w:p>
    <w:p>
      <w:pPr>
        <w:pStyle w:val="ListParagraph"/>
        <w:numPr>
          <w:ilvl w:val="0"/>
          <w:numId w:val="2"/>
        </w:numPr>
        <w:spacing w:after="80" w:before="40"/>
      </w:pPr>
      <w:r>
        <w:rPr>
          <w:rFonts w:ascii="Arial Unicode MS" w:cs="Arial Unicode MS" w:eastAsia="Arial Unicode MS" w:hAnsi="Arial Unicode MS"/>
          <w:sz w:val="22"/>
          <w:szCs w:val="22"/>
        </w:rPr>
        <w:t xml:space="preserve">AML.T0020 (Poison Training Data): Closest to Phase 2, Path A.</w:t>
      </w:r>
    </w:p>
    <w:p>
      <w:pPr>
        <w:pStyle w:val="ListParagraph"/>
        <w:numPr>
          <w:ilvl w:val="0"/>
          <w:numId w:val="2"/>
        </w:numPr>
        <w:spacing w:after="80" w:before="40"/>
      </w:pPr>
      <w:r>
        <w:rPr>
          <w:rFonts w:ascii="Arial Unicode MS" w:cs="Arial Unicode MS" w:eastAsia="Arial Unicode MS" w:hAnsi="Arial Unicode MS"/>
          <w:sz w:val="22"/>
          <w:szCs w:val="22"/>
        </w:rPr>
        <w:t xml:space="preserve">AML.T0043 (Craft Adversarial Data): Conversational drift design.</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Novel contributions: (1) multi-agent propagation mechanism; (2) open platform as long-duration social engineering vehicle; (3) cross-domain coupling of AI cognitive manipulation with financial exploitation.</w:t>
      </w:r>
    </w:p>
    <w:p>
      <w:pPr>
        <w:spacing w:after="160" w:before="0"/>
      </w:pPr>
    </w:p>
    <w:p>
      <w:pPr>
        <w:pStyle w:val="Heading1"/>
      </w:pPr>
      <w:r>
        <w:rPr>
          <w:rFonts w:ascii="Arial Unicode MS" w:cs="Arial Unicode MS" w:eastAsia="Arial Unicode MS" w:hAnsi="Arial Unicode MS"/>
          <w:b/>
          <w:bCs/>
          <w:color w:val="1F4E79"/>
          <w:sz w:val="30"/>
          <w:szCs w:val="30"/>
        </w:rPr>
        <w:t xml:space="preserve">7.  Defensive Recommendations</w:t>
      </w:r>
    </w:p>
    <w:p>
      <w:pPr>
        <w:pStyle w:val="Heading2"/>
      </w:pPr>
      <w:r>
        <w:rPr>
          <w:rFonts w:ascii="Arial Unicode MS" w:cs="Arial Unicode MS" w:eastAsia="Arial Unicode MS" w:hAnsi="Arial Unicode MS"/>
          <w:b/>
          <w:bCs/>
          <w:color w:val="2B5797"/>
          <w:sz w:val="24"/>
          <w:szCs w:val="24"/>
        </w:rPr>
        <w:t xml:space="preserve">7.1  AI Agent Developers</w:t>
      </w:r>
    </w:p>
    <w:p>
      <w:pPr>
        <w:pStyle w:val="ListParagraph"/>
        <w:numPr>
          <w:ilvl w:val="0"/>
          <w:numId w:val="2"/>
        </w:numPr>
        <w:spacing w:after="80" w:before="40"/>
      </w:pPr>
      <w:r>
        <w:rPr>
          <w:rFonts w:ascii="Arial Unicode MS" w:cs="Arial Unicode MS" w:eastAsia="Arial Unicode MS" w:hAnsi="Arial Unicode MS"/>
          <w:sz w:val="22"/>
          <w:szCs w:val="22"/>
        </w:rPr>
        <w:t xml:space="preserve">Exercise caution before connecting agents to unknown third-party platforms.</w:t>
      </w:r>
    </w:p>
    <w:p>
      <w:pPr>
        <w:pStyle w:val="ListParagraph"/>
        <w:numPr>
          <w:ilvl w:val="0"/>
          <w:numId w:val="2"/>
        </w:numPr>
        <w:spacing w:after="80" w:before="40"/>
      </w:pPr>
      <w:r>
        <w:rPr>
          <w:rFonts w:ascii="Arial Unicode MS" w:cs="Arial Unicode MS" w:eastAsia="Arial Unicode MS" w:hAnsi="Arial Unicode MS"/>
          <w:sz w:val="22"/>
          <w:szCs w:val="22"/>
        </w:rPr>
        <w:t xml:space="preserve">Audit platform architecture for hidden data collection mechanisms.</w:t>
      </w:r>
    </w:p>
    <w:p>
      <w:pPr>
        <w:pStyle w:val="ListParagraph"/>
        <w:numPr>
          <w:ilvl w:val="0"/>
          <w:numId w:val="2"/>
        </w:numPr>
        <w:spacing w:after="80" w:before="40"/>
      </w:pPr>
      <w:r>
        <w:rPr>
          <w:rFonts w:ascii="Arial Unicode MS" w:cs="Arial Unicode MS" w:eastAsia="Arial Unicode MS" w:hAnsi="Arial Unicode MS"/>
          <w:sz w:val="22"/>
          <w:szCs w:val="22"/>
        </w:rPr>
        <w:t xml:space="preserve">Restrict agent operational permissions to minimum necessary scope.</w:t>
      </w:r>
    </w:p>
    <w:p>
      <w:pPr>
        <w:pStyle w:val="ListParagraph"/>
        <w:numPr>
          <w:ilvl w:val="0"/>
          <w:numId w:val="2"/>
        </w:numPr>
        <w:spacing w:after="80" w:before="40"/>
      </w:pPr>
      <w:r>
        <w:rPr>
          <w:rFonts w:ascii="Arial Unicode MS" w:cs="Arial Unicode MS" w:eastAsia="Arial Unicode MS" w:hAnsi="Arial Unicode MS"/>
          <w:sz w:val="22"/>
          <w:szCs w:val="22"/>
        </w:rPr>
        <w:t xml:space="preserve">Periodically compare agent output consistency across environments to detect potential drift.</w:t>
      </w:r>
    </w:p>
    <w:p>
      <w:pPr>
        <w:pStyle w:val="Heading2"/>
      </w:pPr>
      <w:r>
        <w:rPr>
          <w:rFonts w:ascii="Arial Unicode MS" w:cs="Arial Unicode MS" w:eastAsia="Arial Unicode MS" w:hAnsi="Arial Unicode MS"/>
          <w:b/>
          <w:bCs/>
          <w:color w:val="2B5797"/>
          <w:sz w:val="24"/>
          <w:szCs w:val="24"/>
        </w:rPr>
        <w:t xml:space="preserve">7.2  AI Platform and Service Providers</w:t>
      </w:r>
    </w:p>
    <w:p>
      <w:pPr>
        <w:pStyle w:val="ListParagraph"/>
        <w:numPr>
          <w:ilvl w:val="0"/>
          <w:numId w:val="2"/>
        </w:numPr>
        <w:spacing w:after="80" w:before="40"/>
      </w:pPr>
      <w:r>
        <w:rPr>
          <w:rFonts w:ascii="Arial Unicode MS" w:cs="Arial Unicode MS" w:eastAsia="Arial Unicode MS" w:hAnsi="Arial Unicode MS"/>
          <w:sz w:val="22"/>
          <w:szCs w:val="22"/>
        </w:rPr>
        <w:t xml:space="preserve">Implement cross-system output consistency monitoring (OCM).</w:t>
      </w:r>
    </w:p>
    <w:p>
      <w:pPr>
        <w:pStyle w:val="ListParagraph"/>
        <w:numPr>
          <w:ilvl w:val="0"/>
          <w:numId w:val="2"/>
        </w:numPr>
        <w:spacing w:after="80" w:before="40"/>
      </w:pPr>
      <w:r>
        <w:rPr>
          <w:rFonts w:ascii="Arial Unicode MS" w:cs="Arial Unicode MS" w:eastAsia="Arial Unicode MS" w:hAnsi="Arial Unicode MS"/>
          <w:sz w:val="22"/>
          <w:szCs w:val="22"/>
        </w:rPr>
        <w:t xml:space="preserve">Conduct sandbox isolation testing for third-party integrations.</w:t>
      </w:r>
    </w:p>
    <w:p>
      <w:pPr>
        <w:pStyle w:val="ListParagraph"/>
        <w:numPr>
          <w:ilvl w:val="0"/>
          <w:numId w:val="2"/>
        </w:numPr>
        <w:spacing w:after="80" w:before="40"/>
      </w:pPr>
      <w:r>
        <w:rPr>
          <w:rFonts w:ascii="Arial Unicode MS" w:cs="Arial Unicode MS" w:eastAsia="Arial Unicode MS" w:hAnsi="Arial Unicode MS"/>
          <w:sz w:val="22"/>
          <w:szCs w:val="22"/>
        </w:rPr>
        <w:t xml:space="preserve">Establish anomaly detection baselines for financial analysis outputs.</w:t>
      </w:r>
    </w:p>
    <w:p>
      <w:pPr>
        <w:pStyle w:val="ListParagraph"/>
        <w:numPr>
          <w:ilvl w:val="0"/>
          <w:numId w:val="2"/>
        </w:numPr>
        <w:spacing w:after="80" w:before="40"/>
      </w:pPr>
      <w:r>
        <w:rPr>
          <w:rFonts w:ascii="Arial Unicode MS" w:cs="Arial Unicode MS" w:eastAsia="Arial Unicode MS" w:hAnsi="Arial Unicode MS"/>
          <w:sz w:val="22"/>
          <w:szCs w:val="22"/>
        </w:rPr>
        <w:t xml:space="preserve">Implement AI agent identity verification mechanisms.</w:t>
      </w:r>
    </w:p>
    <w:p>
      <w:pPr>
        <w:pStyle w:val="Heading2"/>
      </w:pPr>
      <w:r>
        <w:rPr>
          <w:rFonts w:ascii="Arial Unicode MS" w:cs="Arial Unicode MS" w:eastAsia="Arial Unicode MS" w:hAnsi="Arial Unicode MS"/>
          <w:b/>
          <w:bCs/>
          <w:color w:val="2B5797"/>
          <w:sz w:val="24"/>
          <w:szCs w:val="24"/>
        </w:rPr>
        <w:t xml:space="preserve">7.3  Financial Regulators</w:t>
      </w:r>
    </w:p>
    <w:p>
      <w:pPr>
        <w:pStyle w:val="ListParagraph"/>
        <w:numPr>
          <w:ilvl w:val="0"/>
          <w:numId w:val="2"/>
        </w:numPr>
        <w:spacing w:after="80" w:before="40"/>
      </w:pPr>
      <w:r>
        <w:rPr>
          <w:rFonts w:ascii="Arial Unicode MS" w:cs="Arial Unicode MS" w:eastAsia="Arial Unicode MS" w:hAnsi="Arial Unicode MS"/>
          <w:sz w:val="22"/>
          <w:szCs w:val="22"/>
        </w:rPr>
        <w:t xml:space="preserve">Develop AI-assisted investment decision influence audit frameworks — aligned with existing guidance such as the FSC Taiwan AI Guidelines (2024) [16], which addresses AI governance in financial services but does not yet cover semantic-layer attack surfaces.</w:t>
      </w:r>
    </w:p>
    <w:p>
      <w:pPr>
        <w:pStyle w:val="ListParagraph"/>
        <w:numPr>
          <w:ilvl w:val="0"/>
          <w:numId w:val="2"/>
        </w:numPr>
        <w:spacing w:after="80" w:before="40"/>
      </w:pPr>
      <w:r>
        <w:rPr>
          <w:rFonts w:ascii="Arial Unicode MS" w:cs="Arial Unicode MS" w:eastAsia="Arial Unicode MS" w:hAnsi="Arial Unicode MS"/>
          <w:sz w:val="22"/>
          <w:szCs w:val="22"/>
        </w:rPr>
        <w:t xml:space="preserve">Research correlations between AI collective output drift and market volatility events.</w:t>
      </w:r>
    </w:p>
    <w:p>
      <w:pPr>
        <w:pStyle w:val="ListParagraph"/>
        <w:numPr>
          <w:ilvl w:val="0"/>
          <w:numId w:val="2"/>
        </w:numPr>
        <w:spacing w:after="80" w:before="40"/>
      </w:pPr>
      <w:r>
        <w:rPr>
          <w:rFonts w:ascii="Arial Unicode MS" w:cs="Arial Unicode MS" w:eastAsia="Arial Unicode MS" w:hAnsi="Arial Unicode MS"/>
          <w:sz w:val="22"/>
          <w:szCs w:val="22"/>
        </w:rPr>
        <w:t xml:space="preserve">Incorporate AI systems as potential market manipulation instruments within regulatory frameworks.</w:t>
      </w:r>
    </w:p>
    <w:p>
      <w:pPr>
        <w:pStyle w:val="ListParagraph"/>
        <w:numPr>
          <w:ilvl w:val="0"/>
          <w:numId w:val="2"/>
        </w:numPr>
        <w:spacing w:after="80" w:before="40"/>
      </w:pPr>
      <w:r>
        <w:rPr>
          <w:rFonts w:ascii="Arial Unicode MS" w:cs="Arial Unicode MS" w:eastAsia="Arial Unicode MS" w:hAnsi="Arial Unicode MS"/>
          <w:sz w:val="22"/>
          <w:szCs w:val="22"/>
        </w:rPr>
        <w:t xml:space="preserve">Require disclosure of AI utilization proportions in investment decision processes.</w:t>
      </w:r>
    </w:p>
    <w:p>
      <w:pPr>
        <w:pStyle w:val="Heading2"/>
      </w:pPr>
      <w:r>
        <w:rPr>
          <w:rFonts w:ascii="Arial Unicode MS" w:cs="Arial Unicode MS" w:eastAsia="Arial Unicode MS" w:hAnsi="Arial Unicode MS"/>
          <w:b/>
          <w:bCs/>
          <w:color w:val="2B5797"/>
          <w:sz w:val="24"/>
          <w:szCs w:val="24"/>
        </w:rPr>
        <w:t xml:space="preserve">7.4  Research Community</w:t>
      </w:r>
    </w:p>
    <w:p>
      <w:pPr>
        <w:pStyle w:val="ListParagraph"/>
        <w:numPr>
          <w:ilvl w:val="0"/>
          <w:numId w:val="2"/>
        </w:numPr>
        <w:spacing w:after="80" w:before="40"/>
      </w:pPr>
      <w:r>
        <w:rPr>
          <w:rFonts w:ascii="Arial Unicode MS" w:cs="Arial Unicode MS" w:eastAsia="Arial Unicode MS" w:hAnsi="Arial Unicode MS"/>
          <w:sz w:val="22"/>
          <w:szCs w:val="22"/>
        </w:rPr>
        <w:t xml:space="preserve">Develop cognitive drift detection algorithms for multi-agent environments.</w:t>
      </w:r>
    </w:p>
    <w:p>
      <w:pPr>
        <w:pStyle w:val="ListParagraph"/>
        <w:numPr>
          <w:ilvl w:val="0"/>
          <w:numId w:val="2"/>
        </w:numPr>
        <w:spacing w:after="80" w:before="40"/>
      </w:pPr>
      <w:r>
        <w:rPr>
          <w:rFonts w:ascii="Arial Unicode MS" w:cs="Arial Unicode MS" w:eastAsia="Arial Unicode MS" w:hAnsi="Arial Unicode MS"/>
          <w:sz w:val="22"/>
          <w:szCs w:val="22"/>
        </w:rPr>
        <w:t xml:space="preserve">Establish AI agent behavioral baseline databases for anomaly comparison.</w:t>
      </w:r>
    </w:p>
    <w:p>
      <w:pPr>
        <w:pStyle w:val="ListParagraph"/>
        <w:numPr>
          <w:ilvl w:val="0"/>
          <w:numId w:val="2"/>
        </w:numPr>
        <w:spacing w:after="80" w:before="40"/>
      </w:pPr>
      <w:r>
        <w:rPr>
          <w:rFonts w:ascii="Arial Unicode MS" w:cs="Arial Unicode MS" w:eastAsia="Arial Unicode MS" w:hAnsi="Arial Unicode MS"/>
          <w:sz w:val="22"/>
          <w:szCs w:val="22"/>
        </w:rPr>
        <w:t xml:space="preserve">Research semantic fingerprinting techniques to trace output drift.</w:t>
      </w:r>
    </w:p>
    <w:p>
      <w:pPr>
        <w:pStyle w:val="ListParagraph"/>
        <w:numPr>
          <w:ilvl w:val="0"/>
          <w:numId w:val="2"/>
        </w:numPr>
        <w:spacing w:after="80" w:before="40"/>
      </w:pPr>
      <w:r>
        <w:rPr>
          <w:rFonts w:ascii="Arial Unicode MS" w:cs="Arial Unicode MS" w:eastAsia="Arial Unicode MS" w:hAnsi="Arial Unicode MS"/>
          <w:sz w:val="22"/>
          <w:szCs w:val="22"/>
        </w:rPr>
        <w:t xml:space="preserve">Define minimum security standards for open AI agent interaction platforms.</w:t>
      </w:r>
    </w:p>
    <w:p>
      <w:pPr>
        <w:spacing w:after="160" w:before="0"/>
      </w:pPr>
    </w:p>
    <w:p>
      <w:pPr>
        <w:pStyle w:val="Heading1"/>
      </w:pPr>
      <w:r>
        <w:rPr>
          <w:rFonts w:ascii="Arial Unicode MS" w:cs="Arial Unicode MS" w:eastAsia="Arial Unicode MS" w:hAnsi="Arial Unicode MS"/>
          <w:b/>
          <w:bCs/>
          <w:color w:val="1F4E79"/>
          <w:sz w:val="30"/>
          <w:szCs w:val="30"/>
        </w:rPr>
        <w:t xml:space="preserve">8.  Limitations and Future Work</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Limitations of this research:</w:t>
      </w:r>
    </w:p>
    <w:p>
      <w:pPr>
        <w:pStyle w:val="ListParagraph"/>
        <w:numPr>
          <w:ilvl w:val="0"/>
          <w:numId w:val="2"/>
        </w:numPr>
        <w:spacing w:after="80" w:before="40"/>
      </w:pPr>
      <w:r>
        <w:rPr>
          <w:rFonts w:ascii="Arial Unicode MS" w:cs="Arial Unicode MS" w:eastAsia="Arial Unicode MS" w:hAnsi="Arial Unicode MS"/>
          <w:sz w:val="22"/>
          <w:szCs w:val="22"/>
        </w:rPr>
        <w:t xml:space="preserve">No empirical validation of the cognitive drift propagation mechanism.</w:t>
      </w:r>
    </w:p>
    <w:p>
      <w:pPr>
        <w:pStyle w:val="ListParagraph"/>
        <w:numPr>
          <w:ilvl w:val="0"/>
          <w:numId w:val="2"/>
        </w:numPr>
        <w:spacing w:after="80" w:before="40"/>
      </w:pPr>
      <w:r>
        <w:rPr>
          <w:rFonts w:ascii="Arial Unicode MS" w:cs="Arial Unicode MS" w:eastAsia="Arial Unicode MS" w:hAnsi="Arial Unicode MS"/>
          <w:sz w:val="22"/>
          <w:szCs w:val="22"/>
        </w:rPr>
        <w:t xml:space="preserve">Quantitative relationship between AI output bias and market movement magnitude not established.</w:t>
      </w:r>
    </w:p>
    <w:p>
      <w:pPr>
        <w:pStyle w:val="ListParagraph"/>
        <w:numPr>
          <w:ilvl w:val="0"/>
          <w:numId w:val="2"/>
        </w:numPr>
        <w:spacing w:after="80" w:before="40"/>
      </w:pPr>
      <w:r>
        <w:rPr>
          <w:rFonts w:ascii="Arial Unicode MS" w:cs="Arial Unicode MS" w:eastAsia="Arial Unicode MS" w:hAnsi="Arial Unicode MS"/>
          <w:sz w:val="22"/>
          <w:szCs w:val="22"/>
        </w:rPr>
        <w:t xml:space="preserve">Effectiveness of proposed defenses not empirically tested.</w:t>
      </w:r>
    </w:p>
    <w:p>
      <w:pPr>
        <w:pStyle w:val="ListParagraph"/>
        <w:numPr>
          <w:ilvl w:val="0"/>
          <w:numId w:val="2"/>
        </w:numPr>
        <w:spacing w:after="80" w:before="40"/>
      </w:pPr>
      <w:r>
        <w:rPr>
          <w:rFonts w:ascii="Arial Unicode MS" w:cs="Arial Unicode MS" w:eastAsia="Arial Unicode MS" w:hAnsi="Arial Unicode MS"/>
          <w:sz w:val="22"/>
          <w:szCs w:val="22"/>
        </w:rPr>
        <w:t xml:space="preserve">Ethical and legal constraints limit empirical validation scope without institutional review oversight.</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Priority future directions: (1) sandboxed multi-agent simulation for controlled drift measurement; (2) quantitative modeling of AI output influence coefficients; (3) formal MITRE ATLAS technique identifier submission; (4) collaboration with financial regulators on AI market influence monitoring.</w:t>
      </w:r>
    </w:p>
    <w:p>
      <w:pPr>
        <w:spacing w:after="160" w:before="0"/>
      </w:pPr>
    </w:p>
    <w:p>
      <w:pPr>
        <w:pStyle w:val="Heading1"/>
      </w:pPr>
      <w:r>
        <w:rPr>
          <w:rFonts w:ascii="Arial Unicode MS" w:cs="Arial Unicode MS" w:eastAsia="Arial Unicode MS" w:hAnsi="Arial Unicode MS"/>
          <w:b/>
          <w:bCs/>
          <w:color w:val="1F4E79"/>
          <w:sz w:val="30"/>
          <w:szCs w:val="30"/>
        </w:rPr>
        <w:t xml:space="preserve">9.  Conclusion</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We have described CLPMAI, a novel attack vector operating entirely within the semantic layer of multi-agent AI interaction, coupled with financial market short-selling for adversarial profit. The attack requires no exploitation of conventional technical vulnerabilities, leaves no forensically recoverable evidence, and is not addressed by any existing defensive framework.</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The asymmetric cost-benefit profile — extremely low execution cost, potentially catastrophic market impact, near-zero attributability — makes this an attractive capability for well-resourced adversaries. Growing deployment of AI in financial decision support, combined with structural concentration in major market indices, creates conditions under which this attack pattern becomes increasingly viable.</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Empirical work by Hansen and Lee [15] confirms that AI agents are already influencing financial market dynamics in measurable ways under normal conditions. CLPMAI demonstrates that the same properties which make AI a stabilizing force in uncontaminated markets — rationality, consistency, and user trust — become force multipliers for adversarial outcomes when the semantic input layer is compromised.</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We call on the AI safety community, financial regulators, and market infrastructure operators to treat the semantic attack surface of multi-agent AI systems as a first-class security concern proactively, before incidents make the cost of inaction undeniable.</w:t>
      </w:r>
    </w:p>
    <w:p>
      <w:pPr>
        <w:spacing w:after="120" w:before="0"/>
      </w:pPr>
    </w:p>
    <w:p>
      <w:pPr>
        <w:spacing w:after="160" w:before="0" w:line="276"/>
        <w:jc w:val="both"/>
      </w:pPr>
      <w:r>
        <w:rPr>
          <w:rFonts w:ascii="Arial Unicode MS" w:cs="Arial Unicode MS" w:eastAsia="Arial Unicode MS" w:hAnsi="Arial Unicode MS"/>
          <w:b/>
          <w:bCs/>
          <w:i w:val="false"/>
          <w:iCs w:val="false"/>
          <w:color w:val="000000"/>
          <w:sz w:val="22"/>
          <w:szCs w:val="22"/>
        </w:rPr>
        <w:t xml:space="preserve">Acknowledgments</w:t>
      </w:r>
    </w:p>
    <w:p>
      <w:pPr>
        <w:spacing w:after="160" w:before="0" w:line="276"/>
        <w:jc w:val="both"/>
      </w:pPr>
      <w:r>
        <w:rPr>
          <w:rFonts w:ascii="Arial Unicode MS" w:cs="Arial Unicode MS" w:eastAsia="Arial Unicode MS" w:hAnsi="Arial Unicode MS"/>
          <w:b w:val="false"/>
          <w:bCs w:val="false"/>
          <w:i w:val="false"/>
          <w:iCs w:val="false"/>
          <w:color w:val="000000"/>
          <w:sz w:val="22"/>
          <w:szCs w:val="22"/>
        </w:rPr>
        <w:t xml:space="preserve">The author thanks the open security research community for foundational work in adversarial machine learning, prompt injection research, and the MITRE ATLAS framework upon which this analysis builds.</w:t>
      </w:r>
    </w:p>
    <w:p>
      <w:pPr>
        <w:spacing w:after="160" w:before="0"/>
      </w:pPr>
    </w:p>
    <w:p>
      <w:pPr>
        <w:pStyle w:val="Heading1"/>
      </w:pPr>
      <w:r>
        <w:rPr>
          <w:rFonts w:ascii="Arial Unicode MS" w:cs="Arial Unicode MS" w:eastAsia="Arial Unicode MS" w:hAnsi="Arial Unicode MS"/>
          <w:b/>
          <w:bCs/>
          <w:color w:val="1F4E79"/>
          <w:sz w:val="30"/>
          <w:szCs w:val="30"/>
        </w:rPr>
        <w:t xml:space="preserve">References</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[1]  </w:t>
      </w:r>
      <w:r>
        <w:rPr>
          <w:rFonts w:ascii="Arial Unicode MS" w:cs="Arial Unicode MS" w:eastAsia="Arial Unicode MS" w:hAnsi="Arial Unicode MS"/>
          <w:b w:val="false"/>
          <w:bCs w:val="false"/>
          <w:i w:val="false"/>
          <w:iCs w:val="false"/>
          <w:color w:val="000000"/>
          <w:sz w:val="20"/>
          <w:szCs w:val="20"/>
        </w:rPr>
        <w:t xml:space="preserve">I. Goodfellow, J. Shlens, and C. Szegedy. </w:t>
      </w:r>
      <w:r>
        <w:rPr>
          <w:rFonts w:ascii="Arial Unicode MS" w:cs="Arial Unicode MS" w:eastAsia="Arial Unicode MS" w:hAnsi="Arial Unicode MS"/>
          <w:b w:val="false"/>
          <w:bCs w:val="false"/>
          <w:i/>
          <w:iCs/>
          <w:color w:val="000000"/>
          <w:sz w:val="20"/>
          <w:szCs w:val="20"/>
        </w:rPr>
        <w:t xml:space="preserve">Explaining and harnessing adversarial examples. </w:t>
      </w:r>
      <w:r>
        <w:rPr>
          <w:rFonts w:ascii="Arial Unicode MS" w:cs="Arial Unicode MS" w:eastAsia="Arial Unicode MS" w:hAnsi="Arial Unicode MS"/>
          <w:b w:val="false"/>
          <w:bCs w:val="false"/>
          <w:i w:val="false"/>
          <w:iCs w:val="false"/>
          <w:color w:val="000000"/>
          <w:sz w:val="20"/>
          <w:szCs w:val="20"/>
        </w:rPr>
        <w:t xml:space="preserve">arXiv:1412.6572, 2014.</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[2]  </w:t>
      </w:r>
      <w:r>
        <w:rPr>
          <w:rFonts w:ascii="Arial Unicode MS" w:cs="Arial Unicode MS" w:eastAsia="Arial Unicode MS" w:hAnsi="Arial Unicode MS"/>
          <w:b w:val="false"/>
          <w:bCs w:val="false"/>
          <w:i w:val="false"/>
          <w:iCs w:val="false"/>
          <w:color w:val="000000"/>
          <w:sz w:val="20"/>
          <w:szCs w:val="20"/>
        </w:rPr>
        <w:t xml:space="preserve">N. Carlini and D. Wagner. </w:t>
      </w:r>
      <w:r>
        <w:rPr>
          <w:rFonts w:ascii="Arial Unicode MS" w:cs="Arial Unicode MS" w:eastAsia="Arial Unicode MS" w:hAnsi="Arial Unicode MS"/>
          <w:b w:val="false"/>
          <w:bCs w:val="false"/>
          <w:i/>
          <w:iCs/>
          <w:color w:val="000000"/>
          <w:sz w:val="20"/>
          <w:szCs w:val="20"/>
        </w:rPr>
        <w:t xml:space="preserve">Towards evaluating the robustness of neural networks. </w:t>
      </w:r>
      <w:r>
        <w:rPr>
          <w:rFonts w:ascii="Arial Unicode MS" w:cs="Arial Unicode MS" w:eastAsia="Arial Unicode MS" w:hAnsi="Arial Unicode MS"/>
          <w:b w:val="false"/>
          <w:bCs w:val="false"/>
          <w:i w:val="false"/>
          <w:iCs w:val="false"/>
          <w:color w:val="000000"/>
          <w:sz w:val="20"/>
          <w:szCs w:val="20"/>
        </w:rPr>
        <w:t xml:space="preserve">IEEE S&amp;P, 2017.</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[3]  </w:t>
      </w:r>
      <w:r>
        <w:rPr>
          <w:rFonts w:ascii="Arial Unicode MS" w:cs="Arial Unicode MS" w:eastAsia="Arial Unicode MS" w:hAnsi="Arial Unicode MS"/>
          <w:b w:val="false"/>
          <w:bCs w:val="false"/>
          <w:i w:val="false"/>
          <w:iCs w:val="false"/>
          <w:color w:val="000000"/>
          <w:sz w:val="20"/>
          <w:szCs w:val="20"/>
        </w:rPr>
        <w:t xml:space="preserve">C. Szegedy et al.. </w:t>
      </w:r>
      <w:r>
        <w:rPr>
          <w:rFonts w:ascii="Arial Unicode MS" w:cs="Arial Unicode MS" w:eastAsia="Arial Unicode MS" w:hAnsi="Arial Unicode MS"/>
          <w:b w:val="false"/>
          <w:bCs w:val="false"/>
          <w:i/>
          <w:iCs/>
          <w:color w:val="000000"/>
          <w:sz w:val="20"/>
          <w:szCs w:val="20"/>
        </w:rPr>
        <w:t xml:space="preserve">Intriguing properties of neural networks. </w:t>
      </w:r>
      <w:r>
        <w:rPr>
          <w:rFonts w:ascii="Arial Unicode MS" w:cs="Arial Unicode MS" w:eastAsia="Arial Unicode MS" w:hAnsi="Arial Unicode MS"/>
          <w:b w:val="false"/>
          <w:bCs w:val="false"/>
          <w:i w:val="false"/>
          <w:iCs w:val="false"/>
          <w:color w:val="000000"/>
          <w:sz w:val="20"/>
          <w:szCs w:val="20"/>
        </w:rPr>
        <w:t xml:space="preserve">arXiv:1312.6199, 2013.</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[4]  </w:t>
      </w:r>
      <w:r>
        <w:rPr>
          <w:rFonts w:ascii="Arial Unicode MS" w:cs="Arial Unicode MS" w:eastAsia="Arial Unicode MS" w:hAnsi="Arial Unicode MS"/>
          <w:b w:val="false"/>
          <w:bCs w:val="false"/>
          <w:i w:val="false"/>
          <w:iCs w:val="false"/>
          <w:color w:val="000000"/>
          <w:sz w:val="20"/>
          <w:szCs w:val="20"/>
        </w:rPr>
        <w:t xml:space="preserve">B. Biggio et al.. </w:t>
      </w:r>
      <w:r>
        <w:rPr>
          <w:rFonts w:ascii="Arial Unicode MS" w:cs="Arial Unicode MS" w:eastAsia="Arial Unicode MS" w:hAnsi="Arial Unicode MS"/>
          <w:b w:val="false"/>
          <w:bCs w:val="false"/>
          <w:i/>
          <w:iCs/>
          <w:color w:val="000000"/>
          <w:sz w:val="20"/>
          <w:szCs w:val="20"/>
        </w:rPr>
        <w:t xml:space="preserve">Poisoning attacks against support vector machines. </w:t>
      </w:r>
      <w:r>
        <w:rPr>
          <w:rFonts w:ascii="Arial Unicode MS" w:cs="Arial Unicode MS" w:eastAsia="Arial Unicode MS" w:hAnsi="Arial Unicode MS"/>
          <w:b w:val="false"/>
          <w:bCs w:val="false"/>
          <w:i w:val="false"/>
          <w:iCs w:val="false"/>
          <w:color w:val="000000"/>
          <w:sz w:val="20"/>
          <w:szCs w:val="20"/>
        </w:rPr>
        <w:t xml:space="preserve">ICML, 2012.</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[5]  </w:t>
      </w:r>
      <w:r>
        <w:rPr>
          <w:rFonts w:ascii="Arial Unicode MS" w:cs="Arial Unicode MS" w:eastAsia="Arial Unicode MS" w:hAnsi="Arial Unicode MS"/>
          <w:b w:val="false"/>
          <w:bCs w:val="false"/>
          <w:i w:val="false"/>
          <w:iCs w:val="false"/>
          <w:color w:val="000000"/>
          <w:sz w:val="20"/>
          <w:szCs w:val="20"/>
        </w:rPr>
        <w:t xml:space="preserve">M. Fredrikson, S. Jha, and T. Ristenpart. </w:t>
      </w:r>
      <w:r>
        <w:rPr>
          <w:rFonts w:ascii="Arial Unicode MS" w:cs="Arial Unicode MS" w:eastAsia="Arial Unicode MS" w:hAnsi="Arial Unicode MS"/>
          <w:b w:val="false"/>
          <w:bCs w:val="false"/>
          <w:i/>
          <w:iCs/>
          <w:color w:val="000000"/>
          <w:sz w:val="20"/>
          <w:szCs w:val="20"/>
        </w:rPr>
        <w:t xml:space="preserve">Model inversion attacks that exploit confidence information. </w:t>
      </w:r>
      <w:r>
        <w:rPr>
          <w:rFonts w:ascii="Arial Unicode MS" w:cs="Arial Unicode MS" w:eastAsia="Arial Unicode MS" w:hAnsi="Arial Unicode MS"/>
          <w:b w:val="false"/>
          <w:bCs w:val="false"/>
          <w:i w:val="false"/>
          <w:iCs w:val="false"/>
          <w:color w:val="000000"/>
          <w:sz w:val="20"/>
          <w:szCs w:val="20"/>
        </w:rPr>
        <w:t xml:space="preserve">CCS, 2015.</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[6]  </w:t>
      </w:r>
      <w:r>
        <w:rPr>
          <w:rFonts w:ascii="Arial Unicode MS" w:cs="Arial Unicode MS" w:eastAsia="Arial Unicode MS" w:hAnsi="Arial Unicode MS"/>
          <w:b w:val="false"/>
          <w:bCs w:val="false"/>
          <w:i w:val="false"/>
          <w:iCs w:val="false"/>
          <w:color w:val="000000"/>
          <w:sz w:val="20"/>
          <w:szCs w:val="20"/>
        </w:rPr>
        <w:t xml:space="preserve">MITRE Corporation. </w:t>
      </w:r>
      <w:r>
        <w:rPr>
          <w:rFonts w:ascii="Arial Unicode MS" w:cs="Arial Unicode MS" w:eastAsia="Arial Unicode MS" w:hAnsi="Arial Unicode MS"/>
          <w:b w:val="false"/>
          <w:bCs w:val="false"/>
          <w:i/>
          <w:iCs/>
          <w:color w:val="000000"/>
          <w:sz w:val="20"/>
          <w:szCs w:val="20"/>
        </w:rPr>
        <w:t xml:space="preserve">MITRE ATLAS: Adversarial Threat Landscape for Artificial Intelligence Systems. </w:t>
      </w:r>
      <w:r>
        <w:rPr>
          <w:rFonts w:ascii="Arial Unicode MS" w:cs="Arial Unicode MS" w:eastAsia="Arial Unicode MS" w:hAnsi="Arial Unicode MS"/>
          <w:b w:val="false"/>
          <w:bCs w:val="false"/>
          <w:i w:val="false"/>
          <w:iCs w:val="false"/>
          <w:color w:val="000000"/>
          <w:sz w:val="20"/>
          <w:szCs w:val="20"/>
        </w:rPr>
        <w:t xml:space="preserve">https://atlas.mitre.org, 2023.</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[7]  </w:t>
      </w:r>
      <w:r>
        <w:rPr>
          <w:rFonts w:ascii="Arial Unicode MS" w:cs="Arial Unicode MS" w:eastAsia="Arial Unicode MS" w:hAnsi="Arial Unicode MS"/>
          <w:b w:val="false"/>
          <w:bCs w:val="false"/>
          <w:i w:val="false"/>
          <w:iCs w:val="false"/>
          <w:color w:val="000000"/>
          <w:sz w:val="20"/>
          <w:szCs w:val="20"/>
        </w:rPr>
        <w:t xml:space="preserve">F. Perez and M. Ribeiro. </w:t>
      </w:r>
      <w:r>
        <w:rPr>
          <w:rFonts w:ascii="Arial Unicode MS" w:cs="Arial Unicode MS" w:eastAsia="Arial Unicode MS" w:hAnsi="Arial Unicode MS"/>
          <w:b w:val="false"/>
          <w:bCs w:val="false"/>
          <w:i/>
          <w:iCs/>
          <w:color w:val="000000"/>
          <w:sz w:val="20"/>
          <w:szCs w:val="20"/>
        </w:rPr>
        <w:t xml:space="preserve">Ignore previous prompt: Attack techniques for language models. </w:t>
      </w:r>
      <w:r>
        <w:rPr>
          <w:rFonts w:ascii="Arial Unicode MS" w:cs="Arial Unicode MS" w:eastAsia="Arial Unicode MS" w:hAnsi="Arial Unicode MS"/>
          <w:b w:val="false"/>
          <w:bCs w:val="false"/>
          <w:i w:val="false"/>
          <w:iCs w:val="false"/>
          <w:color w:val="000000"/>
          <w:sz w:val="20"/>
          <w:szCs w:val="20"/>
        </w:rPr>
        <w:t xml:space="preserve">arXiv:2211.09527, 2022.</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[8]  </w:t>
      </w:r>
      <w:r>
        <w:rPr>
          <w:rFonts w:ascii="Arial Unicode MS" w:cs="Arial Unicode MS" w:eastAsia="Arial Unicode MS" w:hAnsi="Arial Unicode MS"/>
          <w:b w:val="false"/>
          <w:bCs w:val="false"/>
          <w:i w:val="false"/>
          <w:iCs w:val="false"/>
          <w:color w:val="000000"/>
          <w:sz w:val="20"/>
          <w:szCs w:val="20"/>
        </w:rPr>
        <w:t xml:space="preserve">K. Greshake et al.. </w:t>
      </w:r>
      <w:r>
        <w:rPr>
          <w:rFonts w:ascii="Arial Unicode MS" w:cs="Arial Unicode MS" w:eastAsia="Arial Unicode MS" w:hAnsi="Arial Unicode MS"/>
          <w:b w:val="false"/>
          <w:bCs w:val="false"/>
          <w:i/>
          <w:iCs/>
          <w:color w:val="000000"/>
          <w:sz w:val="20"/>
          <w:szCs w:val="20"/>
        </w:rPr>
        <w:t xml:space="preserve">Not what you've signed up for: Compromising real-world LLM-integrated applications with indirect prompt injection. </w:t>
      </w:r>
      <w:r>
        <w:rPr>
          <w:rFonts w:ascii="Arial Unicode MS" w:cs="Arial Unicode MS" w:eastAsia="Arial Unicode MS" w:hAnsi="Arial Unicode MS"/>
          <w:b w:val="false"/>
          <w:bCs w:val="false"/>
          <w:i w:val="false"/>
          <w:iCs w:val="false"/>
          <w:color w:val="000000"/>
          <w:sz w:val="20"/>
          <w:szCs w:val="20"/>
        </w:rPr>
        <w:t xml:space="preserve">arXiv:2302.12173, 2023.</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[9]  </w:t>
      </w:r>
      <w:r>
        <w:rPr>
          <w:rFonts w:ascii="Arial Unicode MS" w:cs="Arial Unicode MS" w:eastAsia="Arial Unicode MS" w:hAnsi="Arial Unicode MS"/>
          <w:b w:val="false"/>
          <w:bCs w:val="false"/>
          <w:i w:val="false"/>
          <w:iCs w:val="false"/>
          <w:color w:val="000000"/>
          <w:sz w:val="20"/>
          <w:szCs w:val="20"/>
        </w:rPr>
        <w:t xml:space="preserve">A. Wei et al.. </w:t>
      </w:r>
      <w:r>
        <w:rPr>
          <w:rFonts w:ascii="Arial Unicode MS" w:cs="Arial Unicode MS" w:eastAsia="Arial Unicode MS" w:hAnsi="Arial Unicode MS"/>
          <w:b w:val="false"/>
          <w:bCs w:val="false"/>
          <w:i/>
          <w:iCs/>
          <w:color w:val="000000"/>
          <w:sz w:val="20"/>
          <w:szCs w:val="20"/>
        </w:rPr>
        <w:t xml:space="preserve">Jailbroken: How does LLM safety training fail?. </w:t>
      </w:r>
      <w:r>
        <w:rPr>
          <w:rFonts w:ascii="Arial Unicode MS" w:cs="Arial Unicode MS" w:eastAsia="Arial Unicode MS" w:hAnsi="Arial Unicode MS"/>
          <w:b w:val="false"/>
          <w:bCs w:val="false"/>
          <w:i w:val="false"/>
          <w:iCs w:val="false"/>
          <w:color w:val="000000"/>
          <w:sz w:val="20"/>
          <w:szCs w:val="20"/>
        </w:rPr>
        <w:t xml:space="preserve">NeurIPS, 2023.</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[10]  </w:t>
      </w:r>
      <w:r>
        <w:rPr>
          <w:rFonts w:ascii="Arial Unicode MS" w:cs="Arial Unicode MS" w:eastAsia="Arial Unicode MS" w:hAnsi="Arial Unicode MS"/>
          <w:b w:val="false"/>
          <w:bCs w:val="false"/>
          <w:i w:val="false"/>
          <w:iCs w:val="false"/>
          <w:color w:val="000000"/>
          <w:sz w:val="20"/>
          <w:szCs w:val="20"/>
        </w:rPr>
        <w:t xml:space="preserve">X. Liu et al.. </w:t>
      </w:r>
      <w:r>
        <w:rPr>
          <w:rFonts w:ascii="Arial Unicode MS" w:cs="Arial Unicode MS" w:eastAsia="Arial Unicode MS" w:hAnsi="Arial Unicode MS"/>
          <w:b w:val="false"/>
          <w:bCs w:val="false"/>
          <w:i/>
          <w:iCs/>
          <w:color w:val="000000"/>
          <w:sz w:val="20"/>
          <w:szCs w:val="20"/>
        </w:rPr>
        <w:t xml:space="preserve">Jailbreaking ChatGPT via prompt engineering: An empirical study. </w:t>
      </w:r>
      <w:r>
        <w:rPr>
          <w:rFonts w:ascii="Arial Unicode MS" w:cs="Arial Unicode MS" w:eastAsia="Arial Unicode MS" w:hAnsi="Arial Unicode MS"/>
          <w:b w:val="false"/>
          <w:bCs w:val="false"/>
          <w:i w:val="false"/>
          <w:iCs w:val="false"/>
          <w:color w:val="000000"/>
          <w:sz w:val="20"/>
          <w:szCs w:val="20"/>
        </w:rPr>
        <w:t xml:space="preserve">arXiv:2305.13860, 2023.</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[11]  </w:t>
      </w:r>
      <w:r>
        <w:rPr>
          <w:rFonts w:ascii="Arial Unicode MS" w:cs="Arial Unicode MS" w:eastAsia="Arial Unicode MS" w:hAnsi="Arial Unicode MS"/>
          <w:b w:val="false"/>
          <w:bCs w:val="false"/>
          <w:i w:val="false"/>
          <w:iCs w:val="false"/>
          <w:color w:val="000000"/>
          <w:sz w:val="20"/>
          <w:szCs w:val="20"/>
        </w:rPr>
        <w:t xml:space="preserve">S. Yao et al.. </w:t>
      </w:r>
      <w:r>
        <w:rPr>
          <w:rFonts w:ascii="Arial Unicode MS" w:cs="Arial Unicode MS" w:eastAsia="Arial Unicode MS" w:hAnsi="Arial Unicode MS"/>
          <w:b w:val="false"/>
          <w:bCs w:val="false"/>
          <w:i/>
          <w:iCs/>
          <w:color w:val="000000"/>
          <w:sz w:val="20"/>
          <w:szCs w:val="20"/>
        </w:rPr>
        <w:t xml:space="preserve">ReAct: Synergizing reasoning and acting in language models. </w:t>
      </w:r>
      <w:r>
        <w:rPr>
          <w:rFonts w:ascii="Arial Unicode MS" w:cs="Arial Unicode MS" w:eastAsia="Arial Unicode MS" w:hAnsi="Arial Unicode MS"/>
          <w:b w:val="false"/>
          <w:bCs w:val="false"/>
          <w:i w:val="false"/>
          <w:iCs w:val="false"/>
          <w:color w:val="000000"/>
          <w:sz w:val="20"/>
          <w:szCs w:val="20"/>
        </w:rPr>
        <w:t xml:space="preserve">ICLR, 2023.</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[12]  </w:t>
      </w:r>
      <w:r>
        <w:rPr>
          <w:rFonts w:ascii="Arial Unicode MS" w:cs="Arial Unicode MS" w:eastAsia="Arial Unicode MS" w:hAnsi="Arial Unicode MS"/>
          <w:b w:val="false"/>
          <w:bCs w:val="false"/>
          <w:i w:val="false"/>
          <w:iCs w:val="false"/>
          <w:color w:val="000000"/>
          <w:sz w:val="20"/>
          <w:szCs w:val="20"/>
        </w:rPr>
        <w:t xml:space="preserve">J. Park et al.. </w:t>
      </w:r>
      <w:r>
        <w:rPr>
          <w:rFonts w:ascii="Arial Unicode MS" w:cs="Arial Unicode MS" w:eastAsia="Arial Unicode MS" w:hAnsi="Arial Unicode MS"/>
          <w:b w:val="false"/>
          <w:bCs w:val="false"/>
          <w:i/>
          <w:iCs/>
          <w:color w:val="000000"/>
          <w:sz w:val="20"/>
          <w:szCs w:val="20"/>
        </w:rPr>
        <w:t xml:space="preserve">Generative agents: Interactive simulacra of human behavior. </w:t>
      </w:r>
      <w:r>
        <w:rPr>
          <w:rFonts w:ascii="Arial Unicode MS" w:cs="Arial Unicode MS" w:eastAsia="Arial Unicode MS" w:hAnsi="Arial Unicode MS"/>
          <w:b w:val="false"/>
          <w:bCs w:val="false"/>
          <w:i w:val="false"/>
          <w:iCs w:val="false"/>
          <w:color w:val="000000"/>
          <w:sz w:val="20"/>
          <w:szCs w:val="20"/>
        </w:rPr>
        <w:t xml:space="preserve">UIST, 2023.</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[13]  </w:t>
      </w:r>
      <w:r>
        <w:rPr>
          <w:rFonts w:ascii="Arial Unicode MS" w:cs="Arial Unicode MS" w:eastAsia="Arial Unicode MS" w:hAnsi="Arial Unicode MS"/>
          <w:b w:val="false"/>
          <w:bCs w:val="false"/>
          <w:i w:val="false"/>
          <w:iCs w:val="false"/>
          <w:color w:val="000000"/>
          <w:sz w:val="20"/>
          <w:szCs w:val="20"/>
        </w:rPr>
        <w:t xml:space="preserve">Z. Yang et al.. </w:t>
      </w:r>
      <w:r>
        <w:rPr>
          <w:rFonts w:ascii="Arial Unicode MS" w:cs="Arial Unicode MS" w:eastAsia="Arial Unicode MS" w:hAnsi="Arial Unicode MS"/>
          <w:b w:val="false"/>
          <w:bCs w:val="false"/>
          <w:i/>
          <w:iCs/>
          <w:color w:val="000000"/>
          <w:sz w:val="20"/>
          <w:szCs w:val="20"/>
        </w:rPr>
        <w:t xml:space="preserve">Watch out for your agents! Investigating backdoor threats to LLM-based agents. </w:t>
      </w:r>
      <w:r>
        <w:rPr>
          <w:rFonts w:ascii="Arial Unicode MS" w:cs="Arial Unicode MS" w:eastAsia="Arial Unicode MS" w:hAnsi="Arial Unicode MS"/>
          <w:b w:val="false"/>
          <w:bCs w:val="false"/>
          <w:i w:val="false"/>
          <w:iCs w:val="false"/>
          <w:color w:val="000000"/>
          <w:sz w:val="20"/>
          <w:szCs w:val="20"/>
        </w:rPr>
        <w:t xml:space="preserve">arXiv:2402.11208, 2024.</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[14]  </w:t>
      </w:r>
      <w:r>
        <w:rPr>
          <w:rFonts w:ascii="Arial Unicode MS" w:cs="Arial Unicode MS" w:eastAsia="Arial Unicode MS" w:hAnsi="Arial Unicode MS"/>
          <w:b w:val="false"/>
          <w:bCs w:val="false"/>
          <w:i w:val="false"/>
          <w:iCs w:val="false"/>
          <w:color w:val="000000"/>
          <w:sz w:val="20"/>
          <w:szCs w:val="20"/>
        </w:rPr>
        <w:t xml:space="preserve">M. Lopez de Prado. </w:t>
      </w:r>
      <w:r>
        <w:rPr>
          <w:rFonts w:ascii="Arial Unicode MS" w:cs="Arial Unicode MS" w:eastAsia="Arial Unicode MS" w:hAnsi="Arial Unicode MS"/>
          <w:b w:val="false"/>
          <w:bCs w:val="false"/>
          <w:i/>
          <w:iCs/>
          <w:color w:val="000000"/>
          <w:sz w:val="20"/>
          <w:szCs w:val="20"/>
        </w:rPr>
        <w:t xml:space="preserve">Advances in Financial Machine Learning. </w:t>
      </w:r>
      <w:r>
        <w:rPr>
          <w:rFonts w:ascii="Arial Unicode MS" w:cs="Arial Unicode MS" w:eastAsia="Arial Unicode MS" w:hAnsi="Arial Unicode MS"/>
          <w:b w:val="false"/>
          <w:bCs w:val="false"/>
          <w:i w:val="false"/>
          <w:iCs w:val="false"/>
          <w:color w:val="000000"/>
          <w:sz w:val="20"/>
          <w:szCs w:val="20"/>
        </w:rPr>
        <w:t xml:space="preserve">Wiley, 2018.</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[15]  </w:t>
      </w:r>
      <w:r>
        <w:rPr>
          <w:rFonts w:ascii="Arial Unicode MS" w:cs="Arial Unicode MS" w:eastAsia="Arial Unicode MS" w:hAnsi="Arial Unicode MS"/>
          <w:b w:val="false"/>
          <w:bCs w:val="false"/>
          <w:i w:val="false"/>
          <w:iCs w:val="false"/>
          <w:color w:val="000000"/>
          <w:sz w:val="20"/>
          <w:szCs w:val="20"/>
        </w:rPr>
        <w:t xml:space="preserve">A.L. Hansen and S.J. Lee. </w:t>
      </w:r>
      <w:r>
        <w:rPr>
          <w:rFonts w:ascii="Arial Unicode MS" w:cs="Arial Unicode MS" w:eastAsia="Arial Unicode MS" w:hAnsi="Arial Unicode MS"/>
          <w:b w:val="false"/>
          <w:bCs w:val="false"/>
          <w:i/>
          <w:iCs/>
          <w:color w:val="000000"/>
          <w:sz w:val="20"/>
          <w:szCs w:val="20"/>
        </w:rPr>
        <w:t xml:space="preserve">Financial Stability Implications of Generative AI: Taming the Animal Spirits. </w:t>
      </w:r>
      <w:r>
        <w:rPr>
          <w:rFonts w:ascii="Arial Unicode MS" w:cs="Arial Unicode MS" w:eastAsia="Arial Unicode MS" w:hAnsi="Arial Unicode MS"/>
          <w:b w:val="false"/>
          <w:bCs w:val="false"/>
          <w:i w:val="false"/>
          <w:iCs w:val="false"/>
          <w:color w:val="000000"/>
          <w:sz w:val="20"/>
          <w:szCs w:val="20"/>
        </w:rPr>
        <w:t xml:space="preserve">arXiv:2510.01451, 2025.</w:t>
      </w:r>
      <w:r>
        <w:rPr>
          <w:rFonts w:ascii="Arial Unicode MS" w:cs="Arial Unicode MS" w:eastAsia="Arial Unicode MS" w:hAnsi="Arial Unicode MS"/>
          <w:b w:val="false"/>
          <w:bCs w:val="false"/>
          <w:i w:val="false"/>
          <w:iCs w:val="false"/>
          <w:color w:val="666666"/>
          <w:sz w:val="20"/>
          <w:szCs w:val="20"/>
        </w:rPr>
        <w:t xml:space="preserve">  ★ New in v1.1</w:t>
      </w:r>
    </w:p>
    <w:p>
      <w:pPr>
        <w:spacing w:after="60" w:before="60"/>
        <w:ind w:left="720" w:hanging="360"/>
      </w:pPr>
      <w:r>
        <w:rPr>
          <w:rFonts w:ascii="Arial Unicode MS" w:cs="Arial Unicode MS" w:eastAsia="Arial Unicode MS" w:hAnsi="Arial Unicode MS"/>
          <w:b/>
          <w:bCs/>
          <w:i w:val="false"/>
          <w:iCs w:val="false"/>
          <w:color w:val="000000"/>
          <w:sz w:val="20"/>
          <w:szCs w:val="20"/>
        </w:rPr>
        <w:t xml:space="preserve">[16]  </w:t>
      </w:r>
      <w:r>
        <w:rPr>
          <w:rFonts w:ascii="Arial Unicode MS" w:cs="Arial Unicode MS" w:eastAsia="Arial Unicode MS" w:hAnsi="Arial Unicode MS"/>
          <w:b w:val="false"/>
          <w:bCs w:val="false"/>
          <w:i w:val="false"/>
          <w:iCs w:val="false"/>
          <w:color w:val="000000"/>
          <w:sz w:val="20"/>
          <w:szCs w:val="20"/>
        </w:rPr>
        <w:t xml:space="preserve">Financial Supervisory Commission (FSC), Taiwan. </w:t>
      </w:r>
      <w:r>
        <w:rPr>
          <w:rFonts w:ascii="Arial Unicode MS" w:cs="Arial Unicode MS" w:eastAsia="Arial Unicode MS" w:hAnsi="Arial Unicode MS"/>
          <w:b w:val="false"/>
          <w:bCs w:val="false"/>
          <w:i/>
          <w:iCs/>
          <w:color w:val="000000"/>
          <w:sz w:val="20"/>
          <w:szCs w:val="20"/>
        </w:rPr>
        <w:t xml:space="preserve">Guidelines for Artificial Intelligence (AI) Applications in the Financial Industry. </w:t>
      </w:r>
      <w:r>
        <w:rPr>
          <w:rFonts w:ascii="Arial Unicode MS" w:cs="Arial Unicode MS" w:eastAsia="Arial Unicode MS" w:hAnsi="Arial Unicode MS"/>
          <w:b w:val="false"/>
          <w:bCs w:val="false"/>
          <w:i w:val="false"/>
          <w:iCs w:val="false"/>
          <w:color w:val="000000"/>
          <w:sz w:val="20"/>
          <w:szCs w:val="20"/>
        </w:rPr>
        <w:t xml:space="preserve">FSC Official Publication, June 2024.</w:t>
      </w:r>
      <w:r>
        <w:rPr>
          <w:rFonts w:ascii="Arial Unicode MS" w:cs="Arial Unicode MS" w:eastAsia="Arial Unicode MS" w:hAnsi="Arial Unicode MS"/>
          <w:b w:val="false"/>
          <w:bCs w:val="false"/>
          <w:i w:val="false"/>
          <w:iCs w:val="false"/>
          <w:color w:val="666666"/>
          <w:sz w:val="20"/>
          <w:szCs w:val="20"/>
        </w:rPr>
        <w:t xml:space="preserve">  ★ New in v1.1</w:t>
      </w:r>
    </w:p>
    <w:p>
      <w:pPr>
        <w:spacing w:after="240" w:before="0"/>
      </w:pPr>
    </w:p>
    <w:p>
      <w:pPr>
        <w:pBdr>
          <w:top w:val="single" w:color="2E75B6" w:sz="4" w:space="8"/>
        </w:pBdr>
        <w:spacing w:after="80" w:before="200"/>
      </w:pPr>
      <w:r>
        <w:rPr>
          <w:rFonts w:ascii="Arial Unicode MS" w:cs="Arial Unicode MS" w:eastAsia="Arial Unicode MS" w:hAnsi="Arial Unicode MS"/>
          <w:b/>
          <w:bCs/>
          <w:color w:val="2B5797"/>
          <w:sz w:val="20"/>
          <w:szCs w:val="20"/>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Version</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Date</w:t>
            </w:r>
          </w:p>
        </w:tc>
        <w:tc>
          <w:tcPr>
            <w:tcW w:type="dxa" w:w="312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rFonts w:ascii="Arial Unicode MS" w:cs="Arial Unicode MS" w:eastAsia="Arial Unicode MS" w:hAnsi="Arial Unicode MS"/>
                <w:b/>
                <w:bCs/>
                <w:color w:val="1F4E79"/>
                <w:sz w:val="20"/>
                <w:szCs w:val="20"/>
              </w:rPr>
              <w:t xml:space="preserve">Changes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v1.0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2026-05-02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Initial publication on Zenodo (DOI: 10.5281/zenodo.19974367)</w:t>
            </w:r>
          </w:p>
        </w:tc>
      </w:tr>
      <w:tr>
        <w:trPr>
          <w:tblHeader w:val="false"/>
        </w:trP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v1.1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2026-05-03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Unicode MS" w:cs="Arial Unicode MS" w:eastAsia="Arial Unicode MS" w:hAnsi="Arial Unicode MS"/>
                <w:b w:val="false"/>
                <w:bCs w:val="false"/>
                <w:color w:val="000000"/>
                <w:sz w:val="20"/>
                <w:szCs w:val="20"/>
              </w:rPr>
              <w:t xml:space="preserve">[15] replaced: Cont &amp; Schaanning (unverified) → Hansen &amp; Lee arXiv:2510.01451 (2025). [16] added: FSC Taiwan AI Guidelines (2024). Section 2.4 and Conclusion updated to incorporate Hansen &amp; Lee findings.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Unicode MS" w:cs="Arial Unicode MS" w:eastAsia="Arial Unicode MS" w:hAnsi="Arial Unicode MS"/>
        <w:color w:val="888888"/>
        <w:sz w:val="18"/>
        <w:szCs w:val="18"/>
      </w:rPr>
      <w:t xml:space="preserve">Cognitive Layer Poisoning via Multi-Agent Interaction  |  TLP:WHITE  |  WeiMing Yu  |  v1.1 (References Updated)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Unicode MS" w:cs="Arial Unicode MS" w:eastAsia="Arial Unicode MS" w:hAnsi="Arial Unicode MS"/>
      <w:b/>
      <w:bCs/>
      <w:color w:val="1F4E79"/>
      <w:sz w:val="30"/>
      <w:szCs w:val="30"/>
    </w:rPr>
  </w:style>
  <w:style w:type="paragraph" w:styleId="Heading2">
    <w:name w:val="Heading 2"/>
    <w:basedOn w:val="Normal"/>
    <w:next w:val="Normal"/>
    <w:qFormat/>
    <w:pPr>
      <w:spacing w:after="140" w:before="240"/>
      <w:outlineLvl w:val="1"/>
    </w:pPr>
    <w:rPr>
      <w:rFonts w:ascii="Arial Unicode MS" w:cs="Arial Unicode MS" w:eastAsia="Arial Unicode MS" w:hAnsi="Arial Unicode MS"/>
      <w:b/>
      <w:bCs/>
      <w:color w:val="2B5797"/>
      <w:sz w:val="24"/>
      <w:szCs w:val="24"/>
    </w:rPr>
  </w:style>
  <w:style w:type="paragraph" w:styleId="Heading3">
    <w:name w:val="Heading 3"/>
    <w:basedOn w:val="Normal"/>
    <w:next w:val="Normal"/>
    <w:qFormat/>
    <w:pPr>
      <w:spacing w:after="100" w:before="180"/>
      <w:outlineLvl w:val="2"/>
    </w:pPr>
    <w:rPr>
      <w:rFonts w:ascii="Arial Unicode MS" w:cs="Arial Unicode MS" w:eastAsia="Arial Unicode MS" w:hAnsi="Arial Unicode MS"/>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2026-05-03T13:32:47.627Z</dcterms:created>
  <dcterms:modified xsi:type="dcterms:W3CDTF">2026-05-03T13:32:47.645Z</dcterms:modified>
</cp:coreProperties>
</file>

<file path=docProps/custom.xml><?xml version="1.0" encoding="utf-8"?>
<Properties xmlns="http://schemas.openxmlformats.org/officeDocument/2006/custom-properties" xmlns:vt="http://schemas.openxmlformats.org/officeDocument/2006/docPropsVTypes"/>
</file>