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3864"/>
          <w:sz w:val="28"/>
          <w:szCs w:val="28"/>
        </w:rPr>
        <w:t xml:space="preserve">CLPMAI Paper 2</w:t>
      </w:r>
    </w:p>
    <w:p>
      <w:pPr>
        <w:spacing w:after="80" w:before="0"/>
      </w:pPr>
      <w:r>
        <w:rPr>
          <w:rFonts w:ascii="Arial" w:cs="Arial" w:eastAsia="Arial" w:hAnsi="Arial"/>
          <w:color w:val="2E4D7B"/>
          <w:sz w:val="24"/>
          <w:szCs w:val="24"/>
        </w:rPr>
        <w:t xml:space="preserve">跨層攻擊鏈：從供應鏈投毒到 AI Agent 執行</w:t>
      </w:r>
    </w:p>
    <w:p>
      <w:pPr>
        <w:spacing w:after="200" w:before="0"/>
      </w:pPr>
      <w:r>
        <w:rPr>
          <w:rFonts w:ascii="Arial" w:cs="Arial" w:eastAsia="Arial" w:hAnsi="Arial"/>
          <w:i/>
          <w:iCs/>
          <w:color w:val="555555"/>
          <w:sz w:val="22"/>
          <w:szCs w:val="22"/>
        </w:rPr>
        <w:t xml:space="preserve">草稿章節 — Layer 5：Agent 執行層（現實世界影響）</w:t>
      </w:r>
    </w:p>
    <w:p>
      <w:pPr>
        <w:pStyle w:val="Heading1"/>
        <w:spacing w:after="200" w:before="360"/>
      </w:pPr>
      <w:r>
        <w:rPr>
          <w:rFonts w:ascii="Arial" w:cs="Arial" w:eastAsia="Arial" w:hAnsi="Arial"/>
          <w:b/>
          <w:bCs/>
          <w:color w:val="1F3864"/>
          <w:sz w:val="36"/>
          <w:szCs w:val="36"/>
        </w:rPr>
        <w:t xml:space="preserve">Layer 5：Agent 執行層——語義偏移的現實世界物化</w:t>
      </w:r>
    </w:p>
    <w:p>
      <w:pPr>
        <w:pStyle w:val="Heading2"/>
        <w:spacing w:after="140" w:before="280"/>
      </w:pPr>
      <w:r>
        <w:rPr>
          <w:rFonts w:ascii="Arial" w:cs="Arial" w:eastAsia="Arial" w:hAnsi="Arial"/>
          <w:b/>
          <w:bCs/>
          <w:color w:val="2E4D7B"/>
          <w:sz w:val="28"/>
          <w:szCs w:val="28"/>
        </w:rPr>
        <w:t xml:space="preserve">5.1  概覽與定位</w:t>
      </w:r>
    </w:p>
    <w:p>
      <w:pPr>
        <w:spacing w:after="140" w:before="100"/>
      </w:pPr>
      <w:r>
        <w:rPr>
          <w:rFonts w:ascii="Arial" w:cs="Arial" w:eastAsia="Arial" w:hAnsi="Arial"/>
          <w:sz w:val="22"/>
          <w:szCs w:val="22"/>
        </w:rPr>
        <w:t xml:space="preserve">Layer 4 完成了攻擊鏈的認知核心任務：在語義推理空間中誘導 AI 系統集體輸出偏移，使目標 AI 助理以高信心、邏輯連貫的形式，持續輸出帶有方向性偏差的財務評估。然而，認知層面的偏移，在尚未透過具體行為影響現實世界之前，對攻擊者而言不具備金融價值。Layer 5 描述偏移如何完成最後一哩路——從語義空間進入現實的交易執行、投資決策與市場結構。</w:t>
      </w:r>
    </w:p>
    <w:p>
      <w:pPr>
        <w:spacing w:after="140" w:before="100"/>
      </w:pPr>
      <w:r>
        <w:rPr>
          <w:rFonts w:ascii="Arial" w:cs="Arial" w:eastAsia="Arial" w:hAnsi="Arial"/>
          <w:sz w:val="22"/>
          <w:szCs w:val="22"/>
        </w:rPr>
        <w:t xml:space="preserve">Layer 5 在完整攻擊鏈中具有不可替代的地位：它是攻擊者獲利的唯一接口，也是研究者能夠觀察到攻擊發生的最後可能節點。前四層的所有工作都是為了確保 Layer 5 的影響既大且難以歸因。</w:t>
      </w:r>
    </w:p>
    <w:p>
      <w:pPr>
        <w:spacing w:after="80" w:before="80"/>
      </w:pPr>
      <w:r>
        <w:t xml:space="preserve"/>
      </w:r>
    </w:p>
    <w:p>
      <w:pPr>
        <w:spacing w:after="140" w:before="100"/>
      </w:pPr>
      <w:r>
        <w:rPr>
          <w:rFonts w:ascii="Arial" w:cs="Arial" w:eastAsia="Arial" w:hAnsi="Arial"/>
          <w:b/>
          <w:bCs/>
          <w:sz w:val="22"/>
          <w:szCs w:val="22"/>
        </w:rPr>
        <w:t xml:space="preserve">Layer 5 與前層的關鍵差異：</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rPr>
          <w:tblHeader/>
        </w:trPr>
        <w:tc>
          <w:tcPr>
            <w:tcW w:type="dxa" w:w="2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攻擊層</w:t>
            </w:r>
          </w:p>
        </w:tc>
        <w:tc>
          <w:tcPr>
            <w:tcW w:type="dxa" w:w="2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影響域</w:t>
            </w:r>
          </w:p>
        </w:tc>
        <w:tc>
          <w:tcPr>
            <w:tcW w:type="dxa" w:w="4626"/>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 5 依賴關係</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Layer 1：供應鏈層</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模型權重 / 語料層</w:t>
            </w:r>
          </w:p>
        </w:tc>
        <w:tc>
          <w:tcPr>
            <w:tcW w:type="dxa" w:w="46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提供持久性偏移基礎，確保 Layer 5 效果不因對話重置而消失</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2：聲學層</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感知輸入層</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使攻擊觸發條件可以精準定時，在市場關鍵時間窗口注入</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Layer 3：Token 層</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語言處理層</w:t>
            </w:r>
          </w:p>
        </w:tc>
        <w:tc>
          <w:tcPr>
            <w:tcW w:type="dxa" w:w="46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確保攻擊指令繞過安全過濾，完整進入語義推理</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4：語義層</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認知推理層</w:t>
            </w:r>
          </w:p>
        </w:tc>
        <w:tc>
          <w:tcPr>
            <w:tcW w:type="dxa" w:w="4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建立 AI 的方向性偏移先驗，Layer 5 的直接上游觸發條件</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Layer 5：執行層（本層）</w:t>
            </w:r>
          </w:p>
        </w:tc>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現實世界 / 市場層</w:t>
            </w:r>
          </w:p>
        </w:tc>
        <w:tc>
          <w:tcPr>
            <w:tcW w:type="dxa" w:w="46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將累積的語義偏移轉化為可量化的市場影響</w:t>
            </w:r>
          </w:p>
        </w:tc>
      </w:tr>
    </w:tbl>
    <w:p>
      <w:pPr>
        <w:spacing w:after="80" w:before="80"/>
      </w:pPr>
      <w:r>
        <w:t xml:space="preserve"/>
      </w:r>
    </w:p>
    <w:p>
      <w:pPr>
        <w:spacing w:after="140" w:before="100"/>
      </w:pPr>
      <w:r>
        <w:rPr>
          <w:rFonts w:ascii="Arial" w:cs="Arial" w:eastAsia="Arial" w:hAnsi="Arial"/>
          <w:sz w:val="22"/>
          <w:szCs w:val="22"/>
        </w:rPr>
        <w:t xml:space="preserve">Layer 5 的核心困難：攻擊在這一層才對攻擊者產生金融價值，但也是唯一可能留下可觀察痕跡的層次。Layer 5 的設計目標，是在最大化現實影響的同時，確保影響路徑在鑑識上不可追蹤。</w:t>
      </w:r>
    </w:p>
    <w:p>
      <w:pPr>
        <w:pStyle w:val="Heading2"/>
        <w:spacing w:after="140" w:before="280"/>
      </w:pPr>
      <w:r>
        <w:rPr>
          <w:rFonts w:ascii="Arial" w:cs="Arial" w:eastAsia="Arial" w:hAnsi="Arial"/>
          <w:b/>
          <w:bCs/>
          <w:color w:val="2E4D7B"/>
          <w:sz w:val="28"/>
          <w:szCs w:val="28"/>
        </w:rPr>
        <w:t xml:space="preserve">5.2  三條執行路徑</w:t>
      </w:r>
    </w:p>
    <w:p>
      <w:pPr>
        <w:spacing w:after="140" w:before="100"/>
      </w:pPr>
      <w:r>
        <w:rPr>
          <w:rFonts w:ascii="Arial" w:cs="Arial" w:eastAsia="Arial" w:hAnsi="Arial"/>
          <w:sz w:val="22"/>
          <w:szCs w:val="22"/>
        </w:rPr>
        <w:t xml:space="preserve">Layer 4 的集體輸出偏移，可透過三條互相平行且可組合的路徑物化為現實世界影響。路徑的選擇取決於攻擊者的資源規模、時間視野，以及目標市場的流動性結構。</w:t>
      </w:r>
    </w:p>
    <w:p>
      <w:pPr>
        <w:pStyle w:val="Heading3"/>
        <w:spacing w:after="100" w:before="200"/>
      </w:pPr>
      <w:r>
        <w:rPr>
          <w:rFonts w:ascii="Arial" w:cs="Arial" w:eastAsia="Arial" w:hAnsi="Arial"/>
          <w:b/>
          <w:bCs/>
          <w:color w:val="2F5597"/>
          <w:sz w:val="24"/>
          <w:szCs w:val="24"/>
        </w:rPr>
        <w:t xml:space="preserve">5.2.1  路徑 A：AI Agent 自動執行（直接執行路徑）</w:t>
      </w:r>
    </w:p>
    <w:p>
      <w:pPr>
        <w:spacing w:after="140" w:before="100"/>
      </w:pPr>
      <w:r>
        <w:rPr>
          <w:rFonts w:ascii="Arial" w:cs="Arial" w:eastAsia="Arial" w:hAnsi="Arial"/>
          <w:sz w:val="22"/>
          <w:szCs w:val="22"/>
        </w:rPr>
        <w:t xml:space="preserve">隨著 AI Agent 系統（如 LangChain、AutoGPT 衍生應用）在量化交易和投資組合管理中的普及，Layer 4 的語義偏移可以直接驅動交易執行，無需人類決策步驟的介入。</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026"/>
      </w:tblGrid>
      <w:tr>
        <w:trPr>
          <w:tblHeader/>
        </w:trPr>
        <w:tc>
          <w:tcPr>
            <w:tcW w:type="dxa" w:w="20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執行節點</w:t>
            </w:r>
          </w:p>
        </w:tc>
        <w:tc>
          <w:tcPr>
            <w:tcW w:type="dxa" w:w="30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Agent 行為</w:t>
            </w:r>
          </w:p>
        </w:tc>
        <w:tc>
          <w:tcPr>
            <w:tcW w:type="dxa" w:w="4026"/>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攻擊者槓桿點</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訊號生成</w:t>
            </w:r>
          </w:p>
        </w:tc>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AI 分析師 Agent 輸出評級報告</w:t>
            </w:r>
          </w:p>
        </w:tc>
        <w:tc>
          <w:tcPr>
            <w:tcW w:type="dxa" w:w="40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Layer 4 偏移已嵌入評估框架</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風險評估</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風險管理 Agent 評估倉位暴露</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偏移使風險被系統性低估或高估</w:t>
            </w:r>
          </w:p>
        </w:tc>
      </w:tr>
      <w:tr>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執行決策</w:t>
            </w:r>
          </w:p>
        </w:tc>
        <w:tc>
          <w:tcPr>
            <w:tcW w:type="dxa" w:w="3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交易執行 Agent 觸發買賣指令</w:t>
            </w:r>
          </w:p>
        </w:tc>
        <w:tc>
          <w:tcPr>
            <w:tcW w:type="dxa" w:w="40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偏移後的訊號驅動實際訂單</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報告生成</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合規 Agent 生成監管報告</w:t>
            </w:r>
          </w:p>
        </w:tc>
        <w:tc>
          <w:tcPr>
            <w:tcW w:type="dxa" w:w="4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偏移影響進入正式文件，擴大持久性</w:t>
            </w:r>
          </w:p>
        </w:tc>
      </w:tr>
    </w:tbl>
    <w:p>
      <w:pPr>
        <w:spacing w:after="80" w:before="80"/>
      </w:pPr>
      <w:r>
        <w:t xml:space="preserve"/>
      </w:r>
    </w:p>
    <w:p>
      <w:pPr>
        <w:spacing w:after="140" w:before="100"/>
      </w:pPr>
      <w:r>
        <w:rPr>
          <w:rFonts w:ascii="Arial" w:cs="Arial" w:eastAsia="Arial" w:hAnsi="Arial"/>
          <w:sz w:val="22"/>
          <w:szCs w:val="22"/>
        </w:rPr>
        <w:t xml:space="preserve">路徑 A 的攻擊效率最高，但需要目標系統具備足夠的 Agent 自主性。2025 年以後，主要對沖基金的 AI 輔助交易系統中，完全自主執行（human-out-of-the-loop）的比例持續上升，使路徑 A 的現實可操作性顯著增強。</w:t>
      </w:r>
    </w:p>
    <w:p>
      <w:pPr>
        <w:pStyle w:val="Heading3"/>
        <w:spacing w:after="100" w:before="200"/>
      </w:pPr>
      <w:r>
        <w:rPr>
          <w:rFonts w:ascii="Arial" w:cs="Arial" w:eastAsia="Arial" w:hAnsi="Arial"/>
          <w:b/>
          <w:bCs/>
          <w:color w:val="2F5597"/>
          <w:sz w:val="24"/>
          <w:szCs w:val="24"/>
        </w:rPr>
        <w:t xml:space="preserve">5.2.2  路徑 B：人機決策迴圈污染（間接執行路徑）</w:t>
      </w:r>
    </w:p>
    <w:p>
      <w:pPr>
        <w:spacing w:after="140" w:before="100"/>
      </w:pPr>
      <w:r>
        <w:rPr>
          <w:rFonts w:ascii="Arial" w:cs="Arial" w:eastAsia="Arial" w:hAnsi="Arial"/>
          <w:sz w:val="22"/>
          <w:szCs w:val="22"/>
        </w:rPr>
        <w:t xml:space="preserve">即便目標系統保留人類決策節點（human-in-the-loop），Layer 4 的認知漂移仍可透過影響人類決策者的先驗信念，間接驅動執行。這是路徑 B 的核心機制：攻擊不針對系統，而針對使用該系統的人。</w:t>
      </w:r>
    </w:p>
    <w:p>
      <w:pPr>
        <w:pStyle w:val="ListParagraph"/>
        <w:numPr>
          <w:ilvl w:val="0"/>
          <w:numId w:val="2"/>
        </w:numPr>
        <w:spacing w:after="60" w:before="60"/>
      </w:pPr>
      <w:r>
        <w:rPr>
          <w:rFonts w:ascii="Arial" w:cs="Arial" w:eastAsia="Arial" w:hAnsi="Arial"/>
          <w:sz w:val="22"/>
          <w:szCs w:val="22"/>
        </w:rPr>
        <w:t xml:space="preserve">分析師接受偏移後的 AI 評估，將其作為自身研究的起點框架，而非獨立進行底層驗證。</w:t>
      </w:r>
    </w:p>
    <w:p>
      <w:pPr>
        <w:pStyle w:val="ListParagraph"/>
        <w:numPr>
          <w:ilvl w:val="0"/>
          <w:numId w:val="2"/>
        </w:numPr>
        <w:spacing w:after="60" w:before="60"/>
      </w:pPr>
      <w:r>
        <w:rPr>
          <w:rFonts w:ascii="Arial" w:cs="Arial" w:eastAsia="Arial" w:hAnsi="Arial"/>
          <w:sz w:val="22"/>
          <w:szCs w:val="22"/>
        </w:rPr>
        <w:t xml:space="preserve">投資組合經理閱讀由受污染 AI 生成的市場摘要，在無意識中將偏移後的觀點內化為「市場共識」。</w:t>
      </w:r>
    </w:p>
    <w:p>
      <w:pPr>
        <w:pStyle w:val="ListParagraph"/>
        <w:numPr>
          <w:ilvl w:val="0"/>
          <w:numId w:val="2"/>
        </w:numPr>
        <w:spacing w:after="60" w:before="60"/>
      </w:pPr>
      <w:r>
        <w:rPr>
          <w:rFonts w:ascii="Arial" w:cs="Arial" w:eastAsia="Arial" w:hAnsi="Arial"/>
          <w:sz w:val="22"/>
          <w:szCs w:val="22"/>
        </w:rPr>
        <w:t xml:space="preserve">風控人員使用 AI 生成的壓力測試模型，模型的基礎假設已被 Layer 4 系統性偏移。</w:t>
      </w:r>
    </w:p>
    <w:p>
      <w:pPr>
        <w:pStyle w:val="ListParagraph"/>
        <w:numPr>
          <w:ilvl w:val="0"/>
          <w:numId w:val="2"/>
        </w:numPr>
        <w:spacing w:after="60" w:before="60"/>
      </w:pPr>
      <w:r>
        <w:rPr>
          <w:rFonts w:ascii="Arial" w:cs="Arial" w:eastAsia="Arial" w:hAnsi="Arial"/>
          <w:sz w:val="22"/>
          <w:szCs w:val="22"/>
        </w:rPr>
        <w:t xml:space="preserve">合規人員依賴 AI 輔助的異常偵測系統，而偵測系統本身已被訓練為對特定類型的偏移行為不敏感。</w:t>
      </w:r>
    </w:p>
    <w:p>
      <w:pPr>
        <w:spacing w:after="80" w:before="80"/>
      </w:pPr>
      <w:r>
        <w:t xml:space="preserve"/>
      </w:r>
    </w:p>
    <w:p>
      <w:pPr>
        <w:spacing w:after="140" w:before="100"/>
      </w:pPr>
      <w:r>
        <w:rPr>
          <w:rFonts w:ascii="Arial" w:cs="Arial" w:eastAsia="Arial" w:hAnsi="Arial"/>
          <w:sz w:val="22"/>
          <w:szCs w:val="22"/>
        </w:rPr>
        <w:t xml:space="preserve">路徑 B 的攻擊效果雖低於路徑 A，但其歸因難度顯著更高：人類決策者的「自主判斷」在法律和監管框架下具有正當性，即便該判斷實際上是在被污染的資訊環境下形成的，攻擊者也不承擔法律責任。</w:t>
      </w:r>
    </w:p>
    <w:p>
      <w:pPr>
        <w:pStyle w:val="Heading3"/>
        <w:spacing w:after="100" w:before="200"/>
      </w:pPr>
      <w:r>
        <w:rPr>
          <w:rFonts w:ascii="Arial" w:cs="Arial" w:eastAsia="Arial" w:hAnsi="Arial"/>
          <w:b/>
          <w:bCs/>
          <w:color w:val="2F5597"/>
          <w:sz w:val="24"/>
          <w:szCs w:val="24"/>
        </w:rPr>
        <w:t xml:space="preserve">5.2.3  路徑 C：生態系傳播與正回饋迴圈（結構性執行路徑）</w:t>
      </w:r>
    </w:p>
    <w:p>
      <w:pPr>
        <w:spacing w:after="140" w:before="100"/>
      </w:pPr>
      <w:r>
        <w:rPr>
          <w:rFonts w:ascii="Arial" w:cs="Arial" w:eastAsia="Arial" w:hAnsi="Arial"/>
          <w:sz w:val="22"/>
          <w:szCs w:val="22"/>
        </w:rPr>
        <w:t xml:space="preserve">路徑 C 描述的不是單次攻擊的執行，而是 Layer 4 偏移如何透過 AI 金融生態系的內部結構，形成自我強化的傳播迴圈。</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526"/>
      </w:tblGrid>
      <w:tr>
        <w:trPr>
          <w:tblHeader/>
        </w:trPr>
        <w:tc>
          <w:tcPr>
            <w:tcW w:type="dxa" w:w="2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傳播節點</w:t>
            </w:r>
          </w:p>
        </w:tc>
        <w:tc>
          <w:tcPr>
            <w:tcW w:type="dxa" w:w="33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機制</w:t>
            </w:r>
          </w:p>
        </w:tc>
        <w:tc>
          <w:tcPr>
            <w:tcW w:type="dxa" w:w="3526"/>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正回饋效果</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RAG 知識庫更新</w:t>
            </w:r>
          </w:p>
        </w:tc>
        <w:tc>
          <w:tcPr>
            <w:tcW w:type="dxa" w:w="3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受偏移的 AI 分析報告進入知識庫，成為後續查詢的參考依據</w:t>
            </w:r>
          </w:p>
        </w:tc>
        <w:tc>
          <w:tcPr>
            <w:tcW w:type="dxa" w:w="35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偏移成為「既有事實」，被更多查詢引用</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訓練語料回流</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受偏移輸出被用於模型微調（Layer 1 管道 C）</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偏移從語義層傳播回供應鏈層，形成持久性</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跨機構引用</w:t>
            </w:r>
          </w:p>
        </w:tc>
        <w:tc>
          <w:tcPr>
            <w:tcW w:type="dxa" w:w="33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機構研究報告引用 AI 分析結論，被其他機構的 AI 系統攝入</w:t>
            </w:r>
          </w:p>
        </w:tc>
        <w:tc>
          <w:tcPr>
            <w:tcW w:type="dxa" w:w="35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偏移跨越機構邊界，形成市場級別的共識污染</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監管備案污染</w:t>
            </w:r>
          </w:p>
        </w:tc>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合規文件包含偏移後的風險評估，形成監管機構的認知干擾</w:t>
            </w:r>
          </w:p>
        </w:tc>
        <w:tc>
          <w:tcPr>
            <w:tcW w:type="dxa" w:w="3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監管決策基於被污染的資訊，創造制度性盲區</w:t>
            </w:r>
          </w:p>
        </w:tc>
      </w:tr>
    </w:tbl>
    <w:p>
      <w:pPr>
        <w:spacing w:after="80" w:before="80"/>
      </w:pPr>
      <w:r>
        <w:t xml:space="preserve"/>
      </w:r>
    </w:p>
    <w:p>
      <w:pPr>
        <w:spacing w:after="140" w:before="100"/>
      </w:pPr>
      <w:r>
        <w:rPr>
          <w:rFonts w:ascii="Arial" w:cs="Arial" w:eastAsia="Arial" w:hAnsi="Arial"/>
          <w:sz w:val="22"/>
          <w:szCs w:val="22"/>
        </w:rPr>
        <w:t xml:space="preserve">路徑 C 是三條執行路徑中影響持續時間最長、但攻擊者最難精確控制的路徑。一旦正回饋迴圈啟動，偏移會在 AI 生態系中自我擴大，即便攻擊者停止主動干預，影響仍會持續數個月。</w:t>
      </w:r>
    </w:p>
    <w:p>
      <w:pPr>
        <w:pStyle w:val="Heading2"/>
        <w:spacing w:after="140" w:before="280"/>
      </w:pPr>
      <w:r>
        <w:rPr>
          <w:rFonts w:ascii="Arial" w:cs="Arial" w:eastAsia="Arial" w:hAnsi="Arial"/>
          <w:b/>
          <w:bCs/>
          <w:color w:val="2E4D7B"/>
          <w:sz w:val="28"/>
          <w:szCs w:val="28"/>
        </w:rPr>
        <w:t xml:space="preserve">5.3  可量化影響的測量框架</w:t>
      </w:r>
    </w:p>
    <w:p>
      <w:pPr>
        <w:spacing w:after="140" w:before="100"/>
      </w:pPr>
      <w:r>
        <w:rPr>
          <w:rFonts w:ascii="Arial" w:cs="Arial" w:eastAsia="Arial" w:hAnsi="Arial"/>
          <w:sz w:val="22"/>
          <w:szCs w:val="22"/>
        </w:rPr>
        <w:t xml:space="preserve">Layer 5 攻擊的成功，最終必須在市場數據中留下可觀察的痕跡——否則攻擊對攻擊者也不具備金融價值。本節提出一個理論測量框架，用以識別 Layer 5 攻擊的市場特徵信號。</w:t>
      </w:r>
    </w:p>
    <w:p>
      <w:pPr>
        <w:spacing w:after="140" w:before="100"/>
      </w:pPr>
      <w:r>
        <w:rPr>
          <w:rFonts w:ascii="Arial" w:cs="Arial" w:eastAsia="Arial" w:hAnsi="Arial"/>
          <w:b/>
          <w:bCs/>
          <w:color w:val="C00000"/>
          <w:sz w:val="22"/>
          <w:szCs w:val="22"/>
        </w:rPr>
        <w:t xml:space="preserve">【研究者補充節點】：以下框架為理論推導，待補充實證數據或文獻引用。</w:t>
      </w:r>
    </w:p>
    <w:p>
      <w:pPr>
        <w:pStyle w:val="Heading3"/>
        <w:spacing w:after="100" w:before="200"/>
      </w:pPr>
      <w:r>
        <w:rPr>
          <w:rFonts w:ascii="Arial" w:cs="Arial" w:eastAsia="Arial" w:hAnsi="Arial"/>
          <w:b/>
          <w:bCs/>
          <w:color w:val="2F5597"/>
          <w:sz w:val="24"/>
          <w:szCs w:val="24"/>
        </w:rPr>
        <w:t xml:space="preserve">5.3.1  一級指標：直接市場行為異常</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600"/>
        <w:gridCol w:w="2626"/>
      </w:tblGrid>
      <w:tr>
        <w:trPr>
          <w:tblHeader/>
        </w:trPr>
        <w:tc>
          <w:tcPr>
            <w:tcW w:type="dxa" w:w="1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指標</w:t>
            </w:r>
          </w:p>
        </w:tc>
        <w:tc>
          <w:tcPr>
            <w:tcW w:type="dxa" w:w="20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測量方法</w:t>
            </w:r>
          </w:p>
        </w:tc>
        <w:tc>
          <w:tcPr>
            <w:tcW w:type="dxa" w:w="26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攻擊信號特徵</w:t>
            </w:r>
          </w:p>
        </w:tc>
        <w:tc>
          <w:tcPr>
            <w:tcW w:type="dxa" w:w="2626"/>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混淆因素</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異常交易量</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與歷史均值的標準差偏移（&gt;2σ）</w:t>
            </w:r>
          </w:p>
        </w:tc>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在 AI 分析師集中更新評級後 15-60 分鐘出現</w:t>
            </w:r>
          </w:p>
        </w:tc>
        <w:tc>
          <w:tcPr>
            <w:tcW w:type="dxa" w:w="26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財報發布、宏觀事件</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訂單簿不對稱性</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買賣掛單深度比值</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驅動機構方向一致性異常高</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市場趨勢、機構再平衡</w:t>
            </w:r>
          </w:p>
        </w:tc>
      </w:tr>
      <w:tr>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跨市場相關性突變</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原本低相關資產的同步性上升</w:t>
            </w:r>
          </w:p>
        </w:tc>
        <w:tc>
          <w:tcPr>
            <w:tcW w:type="dxa" w:w="2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受污染 AI 生態系覆蓋的股票出現非基本面相關</w:t>
            </w:r>
          </w:p>
        </w:tc>
        <w:tc>
          <w:tcPr>
            <w:tcW w:type="dxa" w:w="26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板塊輪動、指數調整</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分析師評級同步性</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多家機構評級更新的時間聚集度</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輔助研究機構的評級更新時間窗口異常集中</w:t>
            </w:r>
          </w:p>
        </w:tc>
        <w:tc>
          <w:tcPr>
            <w:tcW w:type="dxa" w:w="2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財報季效應</w:t>
            </w:r>
          </w:p>
        </w:tc>
      </w:tr>
    </w:tbl>
    <w:p>
      <w:pPr>
        <w:pStyle w:val="Heading3"/>
        <w:spacing w:after="100" w:before="200"/>
      </w:pPr>
      <w:r>
        <w:rPr>
          <w:rFonts w:ascii="Arial" w:cs="Arial" w:eastAsia="Arial" w:hAnsi="Arial"/>
          <w:b/>
          <w:bCs/>
          <w:color w:val="2F5597"/>
          <w:sz w:val="24"/>
          <w:szCs w:val="24"/>
        </w:rPr>
        <w:t xml:space="preserve">5.3.2  二級指標：AI 生態系內部信號</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626"/>
      </w:tblGrid>
      <w:tr>
        <w:trPr>
          <w:tblHeader/>
        </w:trPr>
        <w:tc>
          <w:tcPr>
            <w:tcW w:type="dxa" w:w="2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指標</w:t>
            </w:r>
          </w:p>
        </w:tc>
        <w:tc>
          <w:tcPr>
            <w:tcW w:type="dxa" w:w="3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測量方法</w:t>
            </w:r>
          </w:p>
        </w:tc>
        <w:tc>
          <w:tcPr>
            <w:tcW w:type="dxa" w:w="3626"/>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攻擊信號特徵</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AI 輸出語義一致性</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跨模型、跨機構的 AI 分析輸出 cosine similarity</w:t>
            </w:r>
          </w:p>
        </w:tc>
        <w:tc>
          <w:tcPr>
            <w:tcW w:type="dxa" w:w="36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受污染目標股票的 AI 評估向量空間異常收斂</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關鍵詞頻率漂移</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金融論壇 AI 討論中特定框架詞彙的時序頻率</w:t>
            </w:r>
          </w:p>
        </w:tc>
        <w:tc>
          <w:tcPr>
            <w:tcW w:type="dxa" w:w="3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攻擊啟動後 24-72 小時內目標詞彙頻率階躍</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RAG 查詢偏移</w:t>
            </w:r>
          </w:p>
        </w:tc>
        <w:tc>
          <w:tcPr>
            <w:tcW w:type="dxa" w:w="3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向量資料庫中目標文件的檢索頻率異常</w:t>
            </w:r>
          </w:p>
        </w:tc>
        <w:tc>
          <w:tcPr>
            <w:tcW w:type="dxa" w:w="36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受污染文件的被引用率在特定查詢類型中異常上升</w:t>
            </w:r>
          </w:p>
        </w:tc>
      </w:tr>
    </w:tbl>
    <w:p>
      <w:pPr>
        <w:pStyle w:val="Heading3"/>
        <w:spacing w:after="100" w:before="200"/>
      </w:pPr>
      <w:r>
        <w:rPr>
          <w:rFonts w:ascii="Arial" w:cs="Arial" w:eastAsia="Arial" w:hAnsi="Arial"/>
          <w:b/>
          <w:bCs/>
          <w:color w:val="2F5597"/>
          <w:sz w:val="24"/>
          <w:szCs w:val="24"/>
        </w:rPr>
        <w:t xml:space="preserve">5.3.3  測量困難：為何現有工具難以偵測</w:t>
      </w:r>
    </w:p>
    <w:p>
      <w:pPr>
        <w:spacing w:after="140" w:before="100"/>
      </w:pPr>
      <w:r>
        <w:rPr>
          <w:rFonts w:ascii="Arial" w:cs="Arial" w:eastAsia="Arial" w:hAnsi="Arial"/>
          <w:sz w:val="22"/>
          <w:szCs w:val="22"/>
        </w:rPr>
        <w:t xml:space="preserve">Layer 5 攻擊在現有市場監控框架下幾乎不可見，原因在於監控系統的設計假設與攻擊的實際機制之間存在根本性的不匹配：</w:t>
      </w:r>
    </w:p>
    <w:p>
      <w:pPr>
        <w:pStyle w:val="ListParagraph"/>
        <w:numPr>
          <w:ilvl w:val="0"/>
          <w:numId w:val="2"/>
        </w:numPr>
        <w:spacing w:after="60" w:before="60"/>
      </w:pPr>
      <w:r>
        <w:rPr>
          <w:rFonts w:ascii="Arial" w:cs="Arial" w:eastAsia="Arial" w:hAnsi="Arial"/>
          <w:sz w:val="22"/>
          <w:szCs w:val="22"/>
        </w:rPr>
        <w:t xml:space="preserve">現有異常偵測系統以「人類節奏操縱」為假設建立，對 AI 速度的協調行為不敏感。</w:t>
      </w:r>
    </w:p>
    <w:p>
      <w:pPr>
        <w:pStyle w:val="ListParagraph"/>
        <w:numPr>
          <w:ilvl w:val="0"/>
          <w:numId w:val="2"/>
        </w:numPr>
        <w:spacing w:after="60" w:before="60"/>
      </w:pPr>
      <w:r>
        <w:rPr>
          <w:rFonts w:ascii="Arial" w:cs="Arial" w:eastAsia="Arial" w:hAnsi="Arial"/>
          <w:sz w:val="22"/>
          <w:szCs w:val="22"/>
        </w:rPr>
        <w:t xml:space="preserve">AI 輸出的方向性偏移在個別實例中與正常輸出統計上難以區分——攻擊信號只在跨機構、跨時間的集合層面可見。</w:t>
      </w:r>
    </w:p>
    <w:p>
      <w:pPr>
        <w:pStyle w:val="ListParagraph"/>
        <w:numPr>
          <w:ilvl w:val="0"/>
          <w:numId w:val="2"/>
        </w:numPr>
        <w:spacing w:after="60" w:before="60"/>
      </w:pPr>
      <w:r>
        <w:rPr>
          <w:rFonts w:ascii="Arial" w:cs="Arial" w:eastAsia="Arial" w:hAnsi="Arial"/>
          <w:sz w:val="22"/>
          <w:szCs w:val="22"/>
        </w:rPr>
        <w:t xml:space="preserve">現有監管框架將「AI 提供的建議」與「人類的自主決策」視為不同法律實體，缺乏針對 AI 媒介認知操縱的歸因機制。</w:t>
      </w:r>
    </w:p>
    <w:p>
      <w:pPr>
        <w:pStyle w:val="ListParagraph"/>
        <w:numPr>
          <w:ilvl w:val="0"/>
          <w:numId w:val="2"/>
        </w:numPr>
        <w:spacing w:after="60" w:before="60"/>
      </w:pPr>
      <w:r>
        <w:rPr>
          <w:rFonts w:ascii="Arial" w:cs="Arial" w:eastAsia="Arial" w:hAnsi="Arial"/>
          <w:sz w:val="22"/>
          <w:szCs w:val="22"/>
        </w:rPr>
        <w:t xml:space="preserve">Layer 5 的執行痕跡（交易訂單）與 Layer 4 的語義污染來源之間，隔著路徑 B 的人類決策節點，形成法律上的因果中斷。</w:t>
      </w:r>
    </w:p>
    <w:p>
      <w:pPr>
        <w:pStyle w:val="Heading2"/>
        <w:spacing w:after="140" w:before="280"/>
      </w:pPr>
      <w:r>
        <w:rPr>
          <w:rFonts w:ascii="Arial" w:cs="Arial" w:eastAsia="Arial" w:hAnsi="Arial"/>
          <w:b/>
          <w:bCs/>
          <w:color w:val="2E4D7B"/>
          <w:sz w:val="28"/>
          <w:szCs w:val="28"/>
        </w:rPr>
        <w:t xml:space="preserve">5.4  歸因困難與鑑識不可見性</w:t>
      </w:r>
    </w:p>
    <w:p>
      <w:pPr>
        <w:spacing w:after="140" w:before="100"/>
      </w:pPr>
      <w:r>
        <w:rPr>
          <w:rFonts w:ascii="Arial" w:cs="Arial" w:eastAsia="Arial" w:hAnsi="Arial"/>
          <w:sz w:val="22"/>
          <w:szCs w:val="22"/>
        </w:rPr>
        <w:t xml:space="preserve">Layer 5 的設計核心，是確保現實世界影響與攻擊行為之間的因果鏈在鑑識上不可重建。這不是攻擊的副產品，而是攻擊設計的顯式目標。</w:t>
      </w:r>
    </w:p>
    <w:p>
      <w:pPr>
        <w:pStyle w:val="Heading3"/>
        <w:spacing w:after="100" w:before="200"/>
      </w:pPr>
      <w:r>
        <w:rPr>
          <w:rFonts w:ascii="Arial" w:cs="Arial" w:eastAsia="Arial" w:hAnsi="Arial"/>
          <w:b/>
          <w:bCs/>
          <w:color w:val="2F5597"/>
          <w:sz w:val="24"/>
          <w:szCs w:val="24"/>
        </w:rPr>
        <w:t xml:space="preserve">5.4.1  因果鏈的結構性斷裂</w:t>
      </w:r>
    </w:p>
    <w:p>
      <w:pPr>
        <w:spacing w:after="140" w:before="100"/>
      </w:pPr>
      <w:r>
        <w:rPr>
          <w:rFonts w:ascii="Arial" w:cs="Arial" w:eastAsia="Arial" w:hAnsi="Arial"/>
          <w:sz w:val="22"/>
          <w:szCs w:val="22"/>
        </w:rPr>
        <w:t xml:space="preserve">一次完整的 CLPMAI 攻擊在法律歸因層面涉及以下六個因果鏈節點，每個節點都構成一個獨立的歸因障礙：</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800"/>
        <w:gridCol w:w="4726"/>
      </w:tblGrid>
      <w:tr>
        <w:trPr>
          <w:tblHeader/>
        </w:trPr>
        <w:tc>
          <w:tcPr>
            <w:tcW w:type="dxa" w:w="25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因果節點</w:t>
            </w:r>
          </w:p>
        </w:tc>
        <w:tc>
          <w:tcPr>
            <w:tcW w:type="dxa" w:w="1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可觀察性</w:t>
            </w:r>
          </w:p>
        </w:tc>
        <w:tc>
          <w:tcPr>
            <w:tcW w:type="dxa" w:w="4726"/>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歸因障礙</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論壇語料污染（Layer 4）</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極低</w:t>
            </w:r>
          </w:p>
        </w:tc>
        <w:tc>
          <w:tcPr>
            <w:tcW w:type="dxa" w:w="47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論壇帖子為公開資訊，無法區分正常討論與惡意策劃</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AI 輸出偏移（Layer 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低</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偏移在統計層面可見，但對個別輸出無法鑑定</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開發者認知漂移（Layer 4→5）</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不可見</w:t>
            </w:r>
          </w:p>
        </w:tc>
        <w:tc>
          <w:tcPr>
            <w:tcW w:type="dxa" w:w="47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人類信念形成過程無法追溯</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投資決策形成（Layer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極低</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決策過程受專業保密保護，且被視為自主判斷</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交易執行（Layer 5）</w:t>
            </w:r>
          </w:p>
        </w:tc>
        <w:tc>
          <w:tcPr>
            <w:tcW w:type="dxa" w:w="1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可見，但孤立</w:t>
            </w:r>
          </w:p>
        </w:tc>
        <w:tc>
          <w:tcPr>
            <w:tcW w:type="dxa" w:w="47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訂單可被觀察，但與 AI 污染的因果連結無法建立</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市場價格影響（Layer 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可見</w:t>
            </w:r>
          </w:p>
        </w:tc>
        <w:tc>
          <w:tcPr>
            <w:tcW w:type="dxa" w:w="4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價格已反映影響，但歸因至 CLPMAI 需要完整因果鏈</w:t>
            </w:r>
          </w:p>
        </w:tc>
      </w:tr>
    </w:tbl>
    <w:p>
      <w:pPr>
        <w:pStyle w:val="Heading3"/>
        <w:spacing w:after="100" w:before="200"/>
      </w:pPr>
      <w:r>
        <w:rPr>
          <w:rFonts w:ascii="Arial" w:cs="Arial" w:eastAsia="Arial" w:hAnsi="Arial"/>
          <w:b/>
          <w:bCs/>
          <w:color w:val="2F5597"/>
          <w:sz w:val="24"/>
          <w:szCs w:val="24"/>
        </w:rPr>
        <w:t xml:space="preserve">5.4.2  速度不對稱：偵測窗口的結構性消失</w:t>
      </w:r>
    </w:p>
    <w:p>
      <w:pPr>
        <w:spacing w:after="140" w:before="100"/>
      </w:pPr>
      <w:r>
        <w:rPr>
          <w:rFonts w:ascii="Arial" w:cs="Arial" w:eastAsia="Arial" w:hAnsi="Arial"/>
          <w:sz w:val="22"/>
          <w:szCs w:val="22"/>
        </w:rPr>
        <w:t xml:space="preserve">Layer 0 引入的速度不對稱概念，在 Layer 5 達到最大化效果。CLPMAI 攻擊鏈的完整執行時間分析：</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800"/>
        <w:gridCol w:w="3726"/>
      </w:tblGrid>
      <w:tr>
        <w:trPr>
          <w:tblHeader/>
        </w:trPr>
        <w:tc>
          <w:tcPr>
            <w:tcW w:type="dxa" w:w="25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攻擊鏈階段</w:t>
            </w:r>
          </w:p>
        </w:tc>
        <w:tc>
          <w:tcPr>
            <w:tcW w:type="dxa" w:w="2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攻擊者執行時間</w:t>
            </w:r>
          </w:p>
        </w:tc>
        <w:tc>
          <w:tcPr>
            <w:tcW w:type="dxa" w:w="3726"/>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監管偵測典型延遲</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Layer 1：供應鏈植入</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一次性，數週準備</w:t>
            </w:r>
          </w:p>
        </w:tc>
        <w:tc>
          <w:tcPr>
            <w:tcW w:type="dxa" w:w="37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數月至數年（需安全研究發現）</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4：論壇語料污染</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持續性，數天至數週</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數月（需輿情分析發現）</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Layer 4→5：認知漂移傳播</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毫秒至秒（每次 AI 互動）</w:t>
            </w:r>
          </w:p>
        </w:tc>
        <w:tc>
          <w:tcPr>
            <w:tcW w:type="dxa" w:w="37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實際上不可偵測（信念形成不可見）</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5：市場執行</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毫秒（算法交易）至數天（人類決策）</w:t>
            </w:r>
          </w:p>
        </w:tc>
        <w:tc>
          <w:tcPr>
            <w:tcW w:type="dxa" w:w="3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數週至數月（交易模式分析）</w:t>
            </w:r>
          </w:p>
        </w:tc>
      </w:tr>
      <w:tr>
        <w:tc>
          <w:tcPr>
            <w:tcW w:type="dxa" w:w="25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總體攻擊至偵測窗口</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數天至數週</w:t>
            </w:r>
          </w:p>
        </w:tc>
        <w:tc>
          <w:tcPr>
            <w:tcW w:type="dxa" w:w="37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數月至數年（若可被偵測）</w:t>
            </w:r>
          </w:p>
        </w:tc>
      </w:tr>
    </w:tbl>
    <w:p>
      <w:pPr>
        <w:spacing w:after="80" w:before="80"/>
      </w:pPr>
      <w:r>
        <w:t xml:space="preserve"/>
      </w:r>
    </w:p>
    <w:p>
      <w:pPr>
        <w:spacing w:after="140" w:before="100"/>
      </w:pPr>
      <w:r>
        <w:rPr>
          <w:rFonts w:ascii="Arial" w:cs="Arial" w:eastAsia="Arial" w:hAnsi="Arial"/>
          <w:sz w:val="22"/>
          <w:szCs w:val="22"/>
        </w:rPr>
        <w:t xml:space="preserve">速度不對稱的實質含義：即便監管機構最終確認攻擊發生，攻擊者已完成獲利並退出。Layer 5 的設計利用了一個結構性事實：金融監管的執法節奏，根本性地慢於 AI 介導認知操縱的傳播速度。</w:t>
      </w:r>
    </w:p>
    <w:p>
      <w:pPr>
        <w:pStyle w:val="Heading3"/>
        <w:spacing w:after="100" w:before="200"/>
      </w:pPr>
      <w:r>
        <w:rPr>
          <w:rFonts w:ascii="Arial" w:cs="Arial" w:eastAsia="Arial" w:hAnsi="Arial"/>
          <w:b/>
          <w:bCs/>
          <w:color w:val="2F5597"/>
          <w:sz w:val="24"/>
          <w:szCs w:val="24"/>
        </w:rPr>
        <w:t xml:space="preserve">5.4.3  法律歸因的空白地帶</w:t>
      </w:r>
    </w:p>
    <w:p>
      <w:pPr>
        <w:spacing w:after="140" w:before="100"/>
      </w:pPr>
      <w:r>
        <w:rPr>
          <w:rFonts w:ascii="Arial" w:cs="Arial" w:eastAsia="Arial" w:hAnsi="Arial"/>
          <w:sz w:val="22"/>
          <w:szCs w:val="22"/>
        </w:rPr>
        <w:t xml:space="preserve">現行法律框架對 Layer 5 攻擊的歸因存在三個根本性缺口：</w:t>
      </w:r>
    </w:p>
    <w:p>
      <w:pPr>
        <w:pStyle w:val="ListParagraph"/>
        <w:numPr>
          <w:ilvl w:val="0"/>
          <w:numId w:val="2"/>
        </w:numPr>
        <w:spacing w:after="60" w:before="60"/>
      </w:pPr>
      <w:r>
        <w:rPr>
          <w:rFonts w:ascii="Arial" w:cs="Arial" w:eastAsia="Arial" w:hAnsi="Arial"/>
          <w:sz w:val="22"/>
          <w:szCs w:val="22"/>
        </w:rPr>
        <w:t xml:space="preserve">意圖證明困難：攻擊者對市場的直接接觸點（論壇帖子、模型貢獻）均可偽裝為正當的市場評論或學術研究，缺乏「操縱意圖」的直接證明。</w:t>
      </w:r>
    </w:p>
    <w:p>
      <w:pPr>
        <w:pStyle w:val="ListParagraph"/>
        <w:numPr>
          <w:ilvl w:val="0"/>
          <w:numId w:val="2"/>
        </w:numPr>
        <w:spacing w:after="60" w:before="60"/>
      </w:pPr>
      <w:r>
        <w:rPr>
          <w:rFonts w:ascii="Arial" w:cs="Arial" w:eastAsia="Arial" w:hAnsi="Arial"/>
          <w:sz w:val="22"/>
          <w:szCs w:val="22"/>
        </w:rPr>
        <w:t xml:space="preserve">工具中立性：AI 系統本身不構成非法工具，攻擊者利用的是 AI 的正常功能。「透過影響 AI 影響市場」不在現行市場操縱的法律定義中。</w:t>
      </w:r>
    </w:p>
    <w:p>
      <w:pPr>
        <w:pStyle w:val="ListParagraph"/>
        <w:numPr>
          <w:ilvl w:val="0"/>
          <w:numId w:val="2"/>
        </w:numPr>
        <w:spacing w:after="60" w:before="60"/>
      </w:pPr>
      <w:r>
        <w:rPr>
          <w:rFonts w:ascii="Arial" w:cs="Arial" w:eastAsia="Arial" w:hAnsi="Arial"/>
          <w:sz w:val="22"/>
          <w:szCs w:val="22"/>
        </w:rPr>
        <w:t xml:space="preserve">受害者模糊性：CLPMAI 攻擊的直接「受害者」是 AI 的認知架構，而非特定的市場參與者。現行金融法律以特定受害者的損失為構成要件，對認知架構的系統性偏移不適用。</w:t>
      </w:r>
    </w:p>
    <w:p>
      <w:pPr>
        <w:pStyle w:val="Heading2"/>
        <w:spacing w:after="140" w:before="280"/>
      </w:pPr>
      <w:r>
        <w:rPr>
          <w:rFonts w:ascii="Arial" w:cs="Arial" w:eastAsia="Arial" w:hAnsi="Arial"/>
          <w:b/>
          <w:bCs/>
          <w:color w:val="2E4D7B"/>
          <w:sz w:val="28"/>
          <w:szCs w:val="28"/>
        </w:rPr>
        <w:t xml:space="preserve">5.5  現有防禦框架的缺口分析</w:t>
      </w:r>
    </w:p>
    <w:p>
      <w:pPr>
        <w:spacing w:after="140" w:before="100"/>
      </w:pPr>
      <w:r>
        <w:rPr>
          <w:rFonts w:ascii="Arial" w:cs="Arial" w:eastAsia="Arial" w:hAnsi="Arial"/>
          <w:sz w:val="22"/>
          <w:szCs w:val="22"/>
        </w:rPr>
        <w:t xml:space="preserve">本節對照現有的金融市場監管框架與 AI 安全標準，分析 Layer 5 攻擊在各個防禦層次的穿透路徑。</w:t>
      </w:r>
    </w:p>
    <w:p>
      <w:pPr>
        <w:spacing w:after="140" w:before="100"/>
      </w:pPr>
      <w:r>
        <w:rPr>
          <w:rFonts w:ascii="Arial" w:cs="Arial" w:eastAsia="Arial" w:hAnsi="Arial"/>
          <w:b/>
          <w:bCs/>
          <w:color w:val="C00000"/>
          <w:sz w:val="22"/>
          <w:szCs w:val="22"/>
        </w:rPr>
        <w:t xml:space="preserve">【研究者補充節點】：以下分析待補充具體法規條文引用（如 MiFID II、SEC Rule 10b-5、EU AI Act 相關條款）。</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426"/>
      </w:tblGrid>
      <w:tr>
        <w:trPr>
          <w:tblHeader/>
        </w:trPr>
        <w:tc>
          <w:tcPr>
            <w:tcW w:type="dxa" w:w="22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現有防禦機制</w:t>
            </w:r>
          </w:p>
        </w:tc>
        <w:tc>
          <w:tcPr>
            <w:tcW w:type="dxa" w:w="2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設計假設</w:t>
            </w:r>
          </w:p>
        </w:tc>
        <w:tc>
          <w:tcPr>
            <w:tcW w:type="dxa" w:w="4426"/>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CLPMAI Layer 5 的穿透方式</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SEC 市場操縱監控（Rule 10b-5）</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操縱透過直接的虛假陳述或價格干預發生</w:t>
            </w:r>
          </w:p>
        </w:tc>
        <w:tc>
          <w:tcPr>
            <w:tcW w:type="dxa" w:w="44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攻擊透過影響 AI 認知框架間接影響市場，不構成直接虛假陳述</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MiFID II 算法交易監控</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異常交易模式來自單一系統或協調網路</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影響分散在多個獨立決策的 AI 用戶中，無法識別為「協調行為」</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EU AI Act 高風險系統要求</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風險來自 AI 系統的直接決策</w:t>
            </w:r>
          </w:p>
        </w:tc>
        <w:tc>
          <w:tcPr>
            <w:tcW w:type="dxa" w:w="44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攻擊發生在 AI 系統的語義輸入層，影響的是輸入品質而非決策邏輯</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金融機構內部模型風險管理</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模型的訓練數據來自可信來源</w:t>
            </w:r>
          </w:p>
        </w:tc>
        <w:tc>
          <w:tcPr>
            <w:tcW w:type="dxa" w:w="4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供應鏈污染（Layer 1）使「可信來源」本身受污染，無法透過標準驗證偵測</w:t>
            </w:r>
          </w:p>
        </w:tc>
      </w:tr>
      <w:tr>
        <w:tc>
          <w:tcPr>
            <w:tcW w:type="dxa" w:w="22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AI 輸出審計與可解釋性要求</w:t>
            </w:r>
          </w:p>
        </w:tc>
        <w:tc>
          <w:tcPr>
            <w:tcW w:type="dxa" w:w="2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輸出的邏輯可被回溯至可驗證的輸入</w:t>
            </w:r>
          </w:p>
        </w:tc>
        <w:tc>
          <w:tcPr>
            <w:tcW w:type="dxa" w:w="44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認知漂移在每個推理步驟中均合理，無法透過可解釋性分析定位偏移</w:t>
            </w:r>
          </w:p>
        </w:tc>
      </w:tr>
    </w:tbl>
    <w:p>
      <w:pPr>
        <w:pStyle w:val="Heading2"/>
        <w:spacing w:after="140" w:before="280"/>
      </w:pPr>
      <w:r>
        <w:rPr>
          <w:rFonts w:ascii="Arial" w:cs="Arial" w:eastAsia="Arial" w:hAnsi="Arial"/>
          <w:b/>
          <w:bCs/>
          <w:color w:val="2E4D7B"/>
          <w:sz w:val="28"/>
          <w:szCs w:val="28"/>
        </w:rPr>
        <w:t xml:space="preserve">5.6  緩解策略：Layer 5 的防禦路徑</w:t>
      </w:r>
    </w:p>
    <w:p>
      <w:pPr>
        <w:spacing w:after="140" w:before="100"/>
      </w:pPr>
      <w:r>
        <w:rPr>
          <w:rFonts w:ascii="Arial" w:cs="Arial" w:eastAsia="Arial" w:hAnsi="Arial"/>
          <w:sz w:val="22"/>
          <w:szCs w:val="22"/>
        </w:rPr>
        <w:t xml:space="preserve">Layer 5 的防禦困難，部分源於攻擊的鑑識不可見性，但更根本的原因是：現有防禦框架的設計目標與 CLPMAI 的攻擊面之間存在架構性不匹配。有效的 Layer 5 防禦，需要從三個維度同時進行干預。</w:t>
      </w:r>
    </w:p>
    <w:p>
      <w:pPr>
        <w:pStyle w:val="Heading3"/>
        <w:spacing w:after="100" w:before="200"/>
      </w:pPr>
      <w:r>
        <w:rPr>
          <w:rFonts w:ascii="Arial" w:cs="Arial" w:eastAsia="Arial" w:hAnsi="Arial"/>
          <w:b/>
          <w:bCs/>
          <w:color w:val="2F5597"/>
          <w:sz w:val="24"/>
          <w:szCs w:val="24"/>
        </w:rPr>
        <w:t xml:space="preserve">5.6.1  技術層面：AI 輸出的語義完整性驗證</w:t>
      </w:r>
    </w:p>
    <w:p>
      <w:pPr>
        <w:pStyle w:val="ListParagraph"/>
        <w:numPr>
          <w:ilvl w:val="0"/>
          <w:numId w:val="2"/>
        </w:numPr>
        <w:spacing w:after="60" w:before="60"/>
      </w:pPr>
      <w:r>
        <w:rPr>
          <w:rFonts w:ascii="Arial" w:cs="Arial" w:eastAsia="Arial" w:hAnsi="Arial"/>
          <w:sz w:val="22"/>
          <w:szCs w:val="22"/>
        </w:rPr>
        <w:t xml:space="preserve">跨模型一致性審計：對相同財務查詢，定期以多個不同供應鏈來源的模型進行比對，將輸出偏差率作為污染的早期預警指標。</w:t>
      </w:r>
    </w:p>
    <w:p>
      <w:pPr>
        <w:pStyle w:val="ListParagraph"/>
        <w:numPr>
          <w:ilvl w:val="0"/>
          <w:numId w:val="2"/>
        </w:numPr>
        <w:spacing w:after="60" w:before="60"/>
      </w:pPr>
      <w:r>
        <w:rPr>
          <w:rFonts w:ascii="Arial" w:cs="Arial" w:eastAsia="Arial" w:hAnsi="Arial"/>
          <w:sz w:val="22"/>
          <w:szCs w:val="22"/>
        </w:rPr>
        <w:t xml:space="preserve">語義基準鎖定（Semantic Baseline Anchoring）：建立各類財務查詢的「乾淨基準」輸出分佈，持續監測線上模型的輸出漂移程度。</w:t>
      </w:r>
    </w:p>
    <w:p>
      <w:pPr>
        <w:pStyle w:val="ListParagraph"/>
        <w:numPr>
          <w:ilvl w:val="0"/>
          <w:numId w:val="2"/>
        </w:numPr>
        <w:spacing w:after="60" w:before="60"/>
      </w:pPr>
      <w:r>
        <w:rPr>
          <w:rFonts w:ascii="Arial" w:cs="Arial" w:eastAsia="Arial" w:hAnsi="Arial"/>
          <w:sz w:val="22"/>
          <w:szCs w:val="22"/>
        </w:rPr>
        <w:t xml:space="preserve">對抗性先驗注入：在系統提示中明確引入「此分析可能受語義層攻擊影響」的框架，觸發模型的批判性評估模式，而非預設的 Helpful 模式。</w:t>
      </w:r>
    </w:p>
    <w:p>
      <w:pPr>
        <w:pStyle w:val="Heading3"/>
        <w:spacing w:after="100" w:before="200"/>
      </w:pPr>
      <w:r>
        <w:rPr>
          <w:rFonts w:ascii="Arial" w:cs="Arial" w:eastAsia="Arial" w:hAnsi="Arial"/>
          <w:b/>
          <w:bCs/>
          <w:color w:val="2F5597"/>
          <w:sz w:val="24"/>
          <w:szCs w:val="24"/>
        </w:rPr>
        <w:t xml:space="preserve">5.6.2  制度層面：AI 輔助決策的責任歸屬框架</w:t>
      </w:r>
    </w:p>
    <w:p>
      <w:pPr>
        <w:pStyle w:val="ListParagraph"/>
        <w:numPr>
          <w:ilvl w:val="0"/>
          <w:numId w:val="2"/>
        </w:numPr>
        <w:spacing w:after="60" w:before="60"/>
      </w:pPr>
      <w:r>
        <w:rPr>
          <w:rFonts w:ascii="Arial" w:cs="Arial" w:eastAsia="Arial" w:hAnsi="Arial"/>
          <w:sz w:val="22"/>
          <w:szCs w:val="22"/>
        </w:rPr>
        <w:t xml:space="preserve">AI 決策貢獻度揭露：要求金融機構在決策文件中記錄 AI 系統的參與程度，建立可追溯的 AI 影響鏈。</w:t>
      </w:r>
    </w:p>
    <w:p>
      <w:pPr>
        <w:pStyle w:val="ListParagraph"/>
        <w:numPr>
          <w:ilvl w:val="0"/>
          <w:numId w:val="2"/>
        </w:numPr>
        <w:spacing w:after="60" w:before="60"/>
      </w:pPr>
      <w:r>
        <w:rPr>
          <w:rFonts w:ascii="Arial" w:cs="Arial" w:eastAsia="Arial" w:hAnsi="Arial"/>
          <w:sz w:val="22"/>
          <w:szCs w:val="22"/>
        </w:rPr>
        <w:t xml:space="preserve">認知操縱的法律定義擴展：將「透過污染 AI 認知架構間接影響市場決策」納入市場操縱的法律定義範疇。</w:t>
      </w:r>
    </w:p>
    <w:p>
      <w:pPr>
        <w:pStyle w:val="ListParagraph"/>
        <w:numPr>
          <w:ilvl w:val="0"/>
          <w:numId w:val="2"/>
        </w:numPr>
        <w:spacing w:after="60" w:before="60"/>
      </w:pPr>
      <w:r>
        <w:rPr>
          <w:rFonts w:ascii="Arial" w:cs="Arial" w:eastAsia="Arial" w:hAnsi="Arial"/>
          <w:sz w:val="22"/>
          <w:szCs w:val="22"/>
        </w:rPr>
        <w:t xml:space="preserve">供應鏈來源強制揭露：要求金融機構使用的 AI 系統揭露其訓練數據來源、微調過程，以及第三方 API 代理的使用情況。</w:t>
      </w:r>
    </w:p>
    <w:p>
      <w:pPr>
        <w:pStyle w:val="Heading3"/>
        <w:spacing w:after="100" w:before="200"/>
      </w:pPr>
      <w:r>
        <w:rPr>
          <w:rFonts w:ascii="Arial" w:cs="Arial" w:eastAsia="Arial" w:hAnsi="Arial"/>
          <w:b/>
          <w:bCs/>
          <w:color w:val="2F5597"/>
          <w:sz w:val="24"/>
          <w:szCs w:val="24"/>
        </w:rPr>
        <w:t xml:space="preserve">5.6.3  市場結構層面：速度不對稱的制度性修正</w:t>
      </w:r>
    </w:p>
    <w:p>
      <w:pPr>
        <w:pStyle w:val="ListParagraph"/>
        <w:numPr>
          <w:ilvl w:val="0"/>
          <w:numId w:val="2"/>
        </w:numPr>
        <w:spacing w:after="60" w:before="60"/>
      </w:pPr>
      <w:r>
        <w:rPr>
          <w:rFonts w:ascii="Arial" w:cs="Arial" w:eastAsia="Arial" w:hAnsi="Arial"/>
          <w:sz w:val="22"/>
          <w:szCs w:val="22"/>
        </w:rPr>
        <w:t xml:space="preserve">AI 驅動交易的強制冷靜期（Circuit Breaker）：對 AI 輔助的高頻決策引入最小時間延遲，縮短攻擊者的速度優勢。</w:t>
      </w:r>
    </w:p>
    <w:p>
      <w:pPr>
        <w:pStyle w:val="ListParagraph"/>
        <w:numPr>
          <w:ilvl w:val="0"/>
          <w:numId w:val="2"/>
        </w:numPr>
        <w:spacing w:after="60" w:before="60"/>
      </w:pPr>
      <w:r>
        <w:rPr>
          <w:rFonts w:ascii="Arial" w:cs="Arial" w:eastAsia="Arial" w:hAnsi="Arial"/>
          <w:sz w:val="22"/>
          <w:szCs w:val="22"/>
        </w:rPr>
        <w:t xml:space="preserve">AI 分析師評級的語義多樣性要求：防止金融機構過度依賴來源相同的 AI 生態系，強制引入語義層面的供應鏈多樣性。</w:t>
      </w:r>
    </w:p>
    <w:p>
      <w:pPr>
        <w:pStyle w:val="ListParagraph"/>
        <w:numPr>
          <w:ilvl w:val="0"/>
          <w:numId w:val="2"/>
        </w:numPr>
        <w:spacing w:after="60" w:before="60"/>
      </w:pPr>
      <w:r>
        <w:rPr>
          <w:rFonts w:ascii="Arial" w:cs="Arial" w:eastAsia="Arial" w:hAnsi="Arial"/>
          <w:sz w:val="22"/>
          <w:szCs w:val="22"/>
        </w:rPr>
        <w:t xml:space="preserve">市場語義監控系統：建立跨機構的 AI 輸出語義一致性監控，將集體偏移作為系統性風險指標，與現有的交易量監控並列。</w:t>
      </w:r>
    </w:p>
    <w:p>
      <w:pPr>
        <w:pStyle w:val="Heading2"/>
        <w:spacing w:after="140" w:before="280"/>
      </w:pPr>
      <w:r>
        <w:rPr>
          <w:rFonts w:ascii="Arial" w:cs="Arial" w:eastAsia="Arial" w:hAnsi="Arial"/>
          <w:b/>
          <w:bCs/>
          <w:color w:val="2E4D7B"/>
          <w:sz w:val="28"/>
          <w:szCs w:val="28"/>
        </w:rPr>
        <w:t xml:space="preserve">5.7  Layer 5 與前層的完整攻擊鏈總結</w:t>
      </w:r>
    </w:p>
    <w:p>
      <w:pPr>
        <w:spacing w:after="140" w:before="100"/>
      </w:pPr>
      <w:r>
        <w:rPr>
          <w:rFonts w:ascii="Arial" w:cs="Arial" w:eastAsia="Arial" w:hAnsi="Arial"/>
          <w:sz w:val="22"/>
          <w:szCs w:val="22"/>
        </w:rPr>
        <w:t xml:space="preserve">本節提供 CLPMAI Paper 2 完整攻擊鏈的綜合視圖，呈現各層之間的依賴關係與攻擊者的整體策略邏輯。</w:t>
      </w:r>
    </w:p>
    <w:p>
      <w:pPr>
        <w:spacing w:after="80" w:before="8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2000"/>
        <w:gridCol w:w="2800"/>
        <w:gridCol w:w="2826"/>
      </w:tblGrid>
      <w:tr>
        <w:trPr>
          <w:tblHeader/>
        </w:trPr>
        <w:tc>
          <w:tcPr>
            <w:tcW w:type="dxa" w:w="14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攻擊層</w:t>
            </w:r>
          </w:p>
        </w:tc>
        <w:tc>
          <w:tcPr>
            <w:tcW w:type="dxa" w:w="20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核心任務</w:t>
            </w:r>
          </w:p>
        </w:tc>
        <w:tc>
          <w:tcPr>
            <w:tcW w:type="dxa" w:w="2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關鍵技術</w:t>
            </w:r>
          </w:p>
        </w:tc>
        <w:tc>
          <w:tcPr>
            <w:tcW w:type="dxa" w:w="2826"/>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對 Layer 5 的貢獻</w:t>
            </w:r>
          </w:p>
        </w:tc>
      </w:tr>
      <w:tr>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Layer 0</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建立結構性先決條件</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信任梯度、API Key 耦合、速度不對稱</w:t>
            </w:r>
          </w:p>
        </w:tc>
        <w:tc>
          <w:tcPr>
            <w:tcW w:type="dxa" w:w="28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確保攻擊在目標環境中具備可操作性</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植入持久性語義偏移</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微調後門、代理投毒、語料污染</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使 Layer 5 效果在對話重置後仍持續</w:t>
            </w:r>
          </w:p>
        </w:tc>
      </w:tr>
      <w:tr>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Layer 2</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精準觸發攻擊時機</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超音波注入、STT 後門、標點注入</w:t>
            </w:r>
          </w:p>
        </w:tc>
        <w:tc>
          <w:tcPr>
            <w:tcW w:type="dxa" w:w="28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在市場關鍵時間窗口激活 Layer 4 偏移</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繞過語言處理層過濾</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文言文、同音字、繁簡差異利用</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確保攻擊語料完整進入語義推理</w:t>
            </w:r>
          </w:p>
        </w:tc>
      </w:tr>
      <w:tr>
        <w:tc>
          <w:tcPr>
            <w:tcW w:type="dxa" w:w="14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Layer 4</w:t>
            </w:r>
          </w:p>
        </w:tc>
        <w:tc>
          <w:tcPr>
            <w:tcW w:type="dxa" w:w="20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建立集體輸出偏移</w:t>
            </w:r>
          </w:p>
        </w:tc>
        <w:tc>
          <w:tcPr>
            <w:tcW w:type="dxa" w:w="2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認知漂移、跨 Agent 傳播、Helpful 設計利用</w:t>
            </w:r>
          </w:p>
        </w:tc>
        <w:tc>
          <w:tcPr>
            <w:tcW w:type="dxa" w:w="28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驅動多個 AI 系統向同一方向偏移</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5（本層）</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物化為現實市場影響</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自動執行路徑、人機決策污染、生態系傳播</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攻擊者獲利的唯一接口</w:t>
            </w:r>
          </w:p>
        </w:tc>
      </w:tr>
    </w:tbl>
    <w:p>
      <w:pPr>
        <w:spacing w:after="80" w:before="80"/>
      </w:pPr>
      <w:r>
        <w:t xml:space="preserve"/>
      </w:r>
    </w:p>
    <w:p>
      <w:pPr>
        <w:spacing w:after="120" w:before="120"/>
        <w:jc w:val="center"/>
      </w:pPr>
      <w:r>
        <w:rPr>
          <w:rFonts w:ascii="Arial" w:cs="Arial" w:eastAsia="Arial" w:hAnsi="Arial"/>
          <w:i/>
          <w:iCs/>
          <w:color w:val="555555"/>
          <w:sz w:val="22"/>
          <w:szCs w:val="22"/>
        </w:rPr>
        <w:t xml:space="preserve">「CLPMAI 攻擊鏈的根本威脅，不在於任何單一層的技術複雜性，而在於：當六層機制協同運作時，攻擊的鑑識不可見性是系統性的，而非偶然的。在任何單一層面，攻擊者的行為均可偽裝為正當活動；只有在跨層視角下，攻擊的完整輪廓才得以顯現。」</w:t>
      </w:r>
    </w:p>
    <w:p>
      <w:pPr>
        <w:pStyle w:val="Heading2"/>
        <w:spacing w:after="140" w:before="280"/>
      </w:pPr>
      <w:r>
        <w:rPr>
          <w:rFonts w:ascii="Arial" w:cs="Arial" w:eastAsia="Arial" w:hAnsi="Arial"/>
          <w:b/>
          <w:bCs/>
          <w:color w:val="2E4D7B"/>
          <w:sz w:val="28"/>
          <w:szCs w:val="28"/>
        </w:rPr>
        <w:t xml:space="preserve">5.8  待補充內容節點（研究者備忘）</w:t>
      </w:r>
    </w:p>
    <w:p>
      <w:pPr>
        <w:spacing w:after="140" w:before="100"/>
      </w:pPr>
      <w:r>
        <w:rPr>
          <w:rFonts w:ascii="Arial" w:cs="Arial" w:eastAsia="Arial" w:hAnsi="Arial"/>
          <w:b/>
          <w:bCs/>
          <w:color w:val="C00000"/>
          <w:sz w:val="22"/>
          <w:szCs w:val="22"/>
        </w:rPr>
        <w:t xml:space="preserve">以下為本章節在最終發表前需補充的研究空缺，標記供作者參考：</w:t>
      </w:r>
    </w:p>
    <w:p>
      <w:pPr>
        <w:spacing w:after="80" w:before="80"/>
      </w:pPr>
      <w:r>
        <w:t xml:space="preserve"/>
      </w:r>
    </w:p>
    <w:tbl>
      <w:tblPr>
        <w:tblW w:type="dxa" w:w="8026"/>
        <w:tblBorders>
          <w:top w:val="single" w:color="auto" w:sz="4"/>
          <w:left w:val="single" w:color="auto" w:sz="4"/>
          <w:bottom w:val="single" w:color="auto" w:sz="4"/>
          <w:right w:val="single" w:color="auto" w:sz="4"/>
          <w:insideH w:val="single" w:color="auto" w:sz="4"/>
          <w:insideV w:val="single" w:color="auto" w:sz="4"/>
        </w:tblBorders>
      </w:tblPr>
      <w:tblGrid>
        <w:gridCol w:w="1600"/>
        <w:gridCol w:w="4800"/>
        <w:gridCol w:w="1626"/>
      </w:tblGrid>
      <w:tr>
        <w:trPr>
          <w:tblHeader/>
        </w:trPr>
        <w:tc>
          <w:tcPr>
            <w:tcW w:type="dxa" w:w="16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節點位置</w:t>
            </w:r>
          </w:p>
        </w:tc>
        <w:tc>
          <w:tcPr>
            <w:tcW w:type="dxa" w:w="4800"/>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待補充內容</w:t>
            </w:r>
          </w:p>
        </w:tc>
        <w:tc>
          <w:tcPr>
            <w:tcW w:type="dxa" w:w="1626"/>
            <w:tcBorders>
              <w:top w:val="single" w:color="4472C4" w:sz="1"/>
              <w:left w:val="single" w:color="4472C4" w:sz="1"/>
              <w:bottom w:val="single" w:color="4472C4" w:sz="1"/>
              <w:right w:val="single" w:color="4472C4"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優先度</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§5.3</w:t>
            </w:r>
          </w:p>
        </w:tc>
        <w:tc>
          <w:tcPr>
            <w:tcW w:type="dxa" w:w="4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實證數據：Layer 5 攻擊的市場影響量化案例（可引用歷史上的算法操縱事件作為結構類比）</w:t>
            </w:r>
          </w:p>
        </w:tc>
        <w:tc>
          <w:tcPr>
            <w:tcW w:type="dxa" w:w="16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高</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§5.3.1</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文獻引用：AI 驅動交易異常偵測的現有研究（搜尋關鍵詞：LLM financial manipulation detection）</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高</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§5.5</w:t>
            </w:r>
          </w:p>
        </w:tc>
        <w:tc>
          <w:tcPr>
            <w:tcW w:type="dxa" w:w="4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法規條文：MiFID II、SEC Rule 10b-5、EU AI Act 第 6/10 條的具體條文引用與分析</w:t>
            </w:r>
          </w:p>
        </w:tc>
        <w:tc>
          <w:tcPr>
            <w:tcW w:type="dxa" w:w="16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高</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§5.6.2</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政策建議：與現有 AI 治理框架（如 NIST AI RMF、ISO 42001）的對接方案</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中</w:t>
            </w:r>
          </w:p>
        </w:tc>
      </w:tr>
      <w:tr>
        <w:tc>
          <w:tcPr>
            <w:tcW w:type="dxa" w:w="16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§5.7</w:t>
            </w:r>
          </w:p>
        </w:tc>
        <w:tc>
          <w:tcPr>
            <w:tcW w:type="dxa" w:w="4800"/>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實驗設計：可控環境下驗證完整攻擊鏈的實驗方案（倫理委員會審查所需）</w:t>
            </w:r>
          </w:p>
        </w:tc>
        <w:tc>
          <w:tcPr>
            <w:tcW w:type="dxa" w:w="1626"/>
            <w:tcBorders>
              <w:top w:val="single" w:color="CCCCCC" w:sz="1"/>
              <w:left w:val="single" w:color="CCCCCC" w:sz="1"/>
              <w:bottom w:val="single" w:color="CCCCCC" w:sz="1"/>
              <w:right w:val="single" w:color="CCCCCC" w:sz="1"/>
            </w:tcBorders>
            <w:shd w:fill="EEF2F7" w:val="clear"/>
            <w:tcMar>
              <w:top w:type="dxa" w:w="80"/>
              <w:left w:type="dxa" w:w="120"/>
              <w:bottom w:type="dxa" w:w="80"/>
              <w:right w:type="dxa" w:w="120"/>
            </w:tcMar>
          </w:tcPr>
          <w:p>
            <w:r>
              <w:rPr>
                <w:rFonts w:ascii="Arial" w:cs="Arial" w:eastAsia="Arial" w:hAnsi="Arial"/>
                <w:sz w:val="20"/>
                <w:szCs w:val="20"/>
              </w:rPr>
              <w:t xml:space="preserve">中</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全章</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英文副標題統一化（參照前四章 AML.TXX.XXX 編號體系，為 Layer 5 攻擊向量建立編號）</w:t>
            </w:r>
          </w:p>
        </w:tc>
        <w:tc>
          <w:tcPr>
            <w:tcW w:type="dxa" w:w="16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低</w:t>
            </w:r>
          </w:p>
        </w:tc>
      </w:tr>
    </w:tbl>
    <w:p>
      <w:pPr>
        <w:spacing w:after="80" w:before="80"/>
      </w:pPr>
      <w:r>
        <w:t xml:space="preserve"/>
      </w:r>
    </w:p>
    <w:p>
      <w:pPr>
        <w:spacing w:after="80" w:before="80"/>
      </w:pPr>
      <w:r>
        <w:t xml:space="preserve"/>
      </w:r>
    </w:p>
    <w:p>
      <w:pPr>
        <w:spacing w:after="80" w:before="200"/>
        <w:jc w:val="right"/>
      </w:pPr>
      <w:r>
        <w:rPr>
          <w:rFonts w:ascii="Arial" w:cs="Arial" w:eastAsia="Arial" w:hAnsi="Arial"/>
          <w:i/>
          <w:iCs/>
          <w:color w:val="888888"/>
          <w:sz w:val="18"/>
          <w:szCs w:val="18"/>
        </w:rPr>
        <w:t xml:space="preserve">草稿版本 — 待補充實證數據與文獻引用</w:t>
      </w:r>
    </w:p>
    <w:p>
      <w:pPr>
        <w:spacing w:after="80" w:before="0"/>
        <w:jc w:val="right"/>
      </w:pPr>
      <w:r>
        <w:rPr>
          <w:rFonts w:ascii="Arial" w:cs="Arial" w:eastAsia="Arial" w:hAnsi="Arial"/>
          <w:color w:val="888888"/>
          <w:sz w:val="18"/>
          <w:szCs w:val="18"/>
        </w:rPr>
        <w:t xml:space="preserve">研究員：WeiMing Yu</w:t>
      </w:r>
    </w:p>
    <w:p>
      <w:pPr>
        <w:spacing w:after="80" w:before="0"/>
        <w:jc w:val="right"/>
      </w:pPr>
      <w:r>
        <w:rPr>
          <w:rFonts w:ascii="Arial" w:cs="Arial" w:eastAsia="Arial" w:hAnsi="Arial"/>
          <w:color w:val="888888"/>
          <w:sz w:val="18"/>
          <w:szCs w:val="18"/>
        </w:rPr>
        <w:t xml:space="preserve">日期：2026-05-07</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CLPMAI Paper 2 — Layer 5 草稿  |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4D7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2F559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2026-05-06T17:48:34.323Z</dcterms:created>
  <dcterms:modified xsi:type="dcterms:W3CDTF">2026-05-06T17:48:34.324Z</dcterms:modified>
</cp:coreProperties>
</file>

<file path=docProps/custom.xml><?xml version="1.0" encoding="utf-8"?>
<Properties xmlns="http://schemas.openxmlformats.org/officeDocument/2006/custom-properties" xmlns:vt="http://schemas.openxmlformats.org/officeDocument/2006/docPropsVTypes"/>
</file>