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color w:val="595959"/>
          <w:sz w:val="18"/>
          <w:szCs w:val="18"/>
        </w:rPr>
        <w:t xml:space="preserve">CLPMAI Paper 2: Cross-Layer Attack Chain  |  TLP:WHITE  |  Draft v0.9  |  2026-05-03</w:t>
      </w:r>
    </w:p>
    <w:p>
      <w:pPr>
        <w:spacing w:after="80" w:before="80"/>
        <w:jc w:val="center"/>
      </w:pPr>
      <w:r>
        <w:rPr>
          <w:rFonts w:ascii="Calibri" w:cs="Calibri" w:eastAsia="Calibri" w:hAnsi="Calibri"/>
          <w:b/>
          <w:bCs/>
          <w:color w:val="2E75B6"/>
          <w:sz w:val="28"/>
          <w:szCs w:val="28"/>
        </w:rPr>
        <w:t xml:space="preserve">CLPMAI Research Series  |  Paper 2</w:t>
      </w:r>
    </w:p>
    <w:p>
      <w:pPr>
        <w:spacing w:after="100" w:before="100"/>
        <w:jc w:val="center"/>
      </w:pPr>
      <w:r>
        <w:rPr>
          <w:rFonts w:ascii="Calibri" w:cs="Calibri" w:eastAsia="Calibri" w:hAnsi="Calibri"/>
          <w:b/>
          <w:bCs/>
          <w:color w:val="1F3864"/>
          <w:sz w:val="36"/>
          <w:szCs w:val="36"/>
        </w:rPr>
        <w:t xml:space="preserve">Cross-Layer Attack Chain: From Supply Chain Poisoning to AI Agent Execution</w:t>
      </w:r>
    </w:p>
    <w:p>
      <w:pPr>
        <w:spacing w:after="40" w:before="120"/>
        <w:jc w:val="center"/>
      </w:pPr>
      <w:r>
        <w:rPr>
          <w:rFonts w:ascii="Times New Roman" w:cs="Times New Roman" w:eastAsia="Times New Roman" w:hAnsi="Times New Roman"/>
          <w:b/>
          <w:bCs/>
          <w:sz w:val="26"/>
          <w:szCs w:val="26"/>
        </w:rPr>
        <w:t xml:space="preserve">WeiMing Yu (俞威名)</w:t>
      </w:r>
    </w:p>
    <w:p>
      <w:pPr>
        <w:spacing w:after="40" w:before="0"/>
        <w:jc w:val="center"/>
      </w:pPr>
      <w:r>
        <w:rPr>
          <w:rFonts w:ascii="Times New Roman" w:cs="Times New Roman" w:eastAsia="Times New Roman" w:hAnsi="Times New Roman"/>
          <w:i/>
          <w:iCs/>
          <w:color w:val="595959"/>
          <w:sz w:val="24"/>
          <w:szCs w:val="24"/>
        </w:rPr>
        <w:t xml:space="preserve">Independent Security Researcher</w:t>
      </w:r>
    </w:p>
    <w:p>
      <w:pPr>
        <w:spacing w:after="40" w:before="0"/>
        <w:jc w:val="center"/>
      </w:pPr>
      <w:r>
        <w:rPr>
          <w:rFonts w:ascii="Times New Roman" w:cs="Times New Roman" w:eastAsia="Times New Roman" w:hAnsi="Times New Roman"/>
          <w:color w:val="595959"/>
          <w:sz w:val="22"/>
          <w:szCs w:val="22"/>
        </w:rPr>
        <w:t xml:space="preserve">Predecessor: CLPMAI Paper 1  |  DOI: 10.5281/zenodo.19974367</w:t>
      </w:r>
    </w:p>
    <w:p>
      <w:pPr>
        <w:spacing w:after="40" w:before="0"/>
        <w:jc w:val="center"/>
      </w:pPr>
      <w:r>
        <w:rPr>
          <w:rFonts w:ascii="Times New Roman" w:cs="Times New Roman" w:eastAsia="Times New Roman" w:hAnsi="Times New Roman"/>
          <w:color w:val="595959"/>
          <w:sz w:val="22"/>
          <w:szCs w:val="22"/>
        </w:rPr>
        <w:t xml:space="preserve">Version: v0.9 Draft  |  2026-05-03  |  Classification: TLP:WHITE</w:t>
      </w:r>
    </w:p>
    <w:p>
      <w:pPr>
        <w:spacing w:after="200" w:before="0"/>
        <w:jc w:val="center"/>
      </w:pPr>
      <w:r>
        <w:rPr>
          <w:rFonts w:ascii="Times New Roman" w:cs="Times New Roman" w:eastAsia="Times New Roman" w:hAnsi="Times New Roman"/>
          <w:color w:val="595959"/>
          <w:sz w:val="22"/>
          <w:szCs w:val="22"/>
        </w:rPr>
        <w:t xml:space="preserve">Framework: MITRE ATT&amp;CK / MITRE ATLAS</w:t>
      </w:r>
    </w:p>
    <w:p>
      <w:pPr>
        <w:pBdr>
          <w:top w:val="single" w:color="2E75B6" w:sz="4" w:space="6"/>
          <w:bottom w:val="single" w:color="2E75B6" w:sz="4" w:space="6"/>
          <w:left w:val="single" w:color="2E75B6" w:sz="4" w:space="6"/>
          <w:right w:val="single" w:color="2E75B6" w:sz="4" w:space="6"/>
        </w:pBdr>
        <w:spacing w:after="240" w:before="120"/>
        <w:ind w:left="360" w:right="360"/>
        <w:jc w:val="both"/>
      </w:pPr>
      <w:r>
        <w:rPr>
          <w:rFonts w:ascii="Times New Roman" w:cs="Times New Roman" w:eastAsia="Times New Roman" w:hAnsi="Times New Roman"/>
          <w:i/>
          <w:iCs/>
          <w:color w:val="595959"/>
          <w:sz w:val="20"/>
          <w:szCs w:val="20"/>
        </w:rPr>
        <w:t xml:space="preserve">Ethics Statement: This research constitutes purely theoretical threat modeling, grounded in publicly available AI security literature, social engineering principles, and financial market structural analysis. No real-world attack testing or proof-of-concept deployment was conducted. Published under TLP:WHITE for defensive research purposes. All scenarios are hypothetical and are not directed at any specific company, system, or market.</w:t>
      </w:r>
    </w:p>
    <w:p>
      <w:pPr>
        <w:pStyle w:val="Heading1"/>
        <w:pBdr>
          <w:bottom w:val="single" w:color="2E75B6" w:sz="4" w:space="4"/>
        </w:pBdr>
        <w:spacing w:after="200" w:before="400"/>
      </w:pPr>
      <w:r>
        <w:rPr>
          <w:rFonts w:ascii="Calibri" w:cs="Calibri" w:eastAsia="Calibri" w:hAnsi="Calibri"/>
          <w:b/>
          <w:bCs/>
          <w:color w:val="1F3864"/>
          <w:sz w:val="32"/>
          <w:szCs w:val="32"/>
        </w:rPr>
        <w:t xml:space="preserve">Abstract</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study extends the threat framework established in CLPMAI (Paper 1, Yu 2026) by proposing a complete five-layer cross-layer attack chain model. The chain originates at the supply chain layer with voice module contamination, progresses through the acoustic and token layers and the semantic layer, and ultimately produces real-world impact at the AI agent execution layer.</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central argument of this research is that each individual layer appears normal in isolation; attack signatures become visible only from a cross-layer perspective. This property renders every existing single-layer defense mechanism—whether noise cancellation, keyword filtering, code auditing, or even the most comprehensive integrated regulatory frameworks—fundamentally incapable of blocking cross-layer attacks.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primary contributions of this research are: (1) a complete five-layer attack chain architecture spanning Layer 0 through Layer 5, integrating supply chain, acoustic, linguistic, semantic, and execution threats into a unified framework for the first time; (2) identification of attack surfaces unique to the Chinese-language environment, including Classical Chinese bypass, homophone attacks, Taiwan-specific Zhuyin Martian text, and the Punctuation Injection attack (AML.TXX.009) proposed here for the first time; (3) nine new MITRE ATLAS technique candidates; and (4) a cross-layer structural analysis of the blind spots in the global regulatory landscape (U.S. OCC/SR 11-7/CFPB/FinCEN, Taiwan FSC 2024).</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research also addresses a more fundamental question: attackers exploit not the vulnerabilities of AI systems, but their normal, intended functions. The rationality of AI, its helpful design, and its legitimate use of authorized tools—behaviors that are correct by design—collectively constitute the attacker's complete toolkit when viewed through a cross-layer lens. The most effective defense begins with a complete understanding of the attack.</w:t>
      </w:r>
    </w:p>
    <w:p>
      <w:pPr>
        <w:spacing w:after="80" w:before="1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cross-layer attack chain, supply chain attack, acoustic injection, token-layer evasion, cognitive drift, AI agent execution, MITRE ATLAS, Chinese LLM security, financial market manipulation, multi-agent AI</w:t>
      </w:r>
    </w:p>
    <w:p>
      <w:pPr>
        <w:pStyle w:val="Heading1"/>
        <w:pBdr>
          <w:bottom w:val="single" w:color="2E75B6" w:sz="4" w:space="4"/>
        </w:pBdr>
        <w:spacing w:after="200" w:before="400"/>
      </w:pPr>
      <w:r>
        <w:rPr>
          <w:rFonts w:ascii="Calibri" w:cs="Calibri" w:eastAsia="Calibri" w:hAnsi="Calibri"/>
          <w:b/>
          <w:bCs/>
          <w:color w:val="1F3864"/>
          <w:sz w:val="32"/>
          <w:szCs w:val="32"/>
        </w:rPr>
        <w:t xml:space="preserve">1.  Introduction</w:t>
      </w:r>
    </w:p>
    <w:p>
      <w:pPr>
        <w:pStyle w:val="Heading2"/>
        <w:spacing w:after="120" w:before="280"/>
      </w:pPr>
      <w:r>
        <w:rPr>
          <w:rFonts w:ascii="Calibri" w:cs="Calibri" w:eastAsia="Calibri" w:hAnsi="Calibri"/>
          <w:b/>
          <w:bCs/>
          <w:color w:val="2E75B6"/>
          <w:sz w:val="26"/>
          <w:szCs w:val="26"/>
        </w:rPr>
        <w:t xml:space="preserve">1.1  Research Background and Motivation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CLPMAI (Paper 1) established a foundational framework for cognitive-layer attacks, describing how adversaries exploit AI-assisted financial analysis forums to induce synchronized semantic drift across multiple AI systems while simultaneously profiting through coordinated short positions. The central finding of Paper 1 was that this attack operates entirely within the semantic layer, produces no detectable technical artifacts, and violates no existing legal framework.</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However, Paper 1's framework rests on an important assumption: that attackers have direct access to target AI systems and can induce cognitive drift through forum interaction. In practice, every link in the attack chain requires a more comprehensive underlying infrastructure—the attack is completed across multiple technical layers before the target ever encounters any AI output.</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Paper 2 fills this gap. It proposes a complete five-layer attack chain model, explaining how an adversary begins at the supply chain layer, establishes attack conditions layer by layer, and ultimately produces measurable real-world impact at the AI agent execution layer.</w:t>
      </w:r>
    </w:p>
    <w:p>
      <w:pPr>
        <w:pStyle w:val="Heading2"/>
        <w:spacing w:after="120" w:before="280"/>
      </w:pPr>
      <w:r>
        <w:rPr>
          <w:rFonts w:ascii="Calibri" w:cs="Calibri" w:eastAsia="Calibri" w:hAnsi="Calibri"/>
          <w:b/>
          <w:bCs/>
          <w:color w:val="2E75B6"/>
          <w:sz w:val="26"/>
          <w:szCs w:val="26"/>
        </w:rPr>
        <w:t xml:space="preserve">1.2  Research Contributions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research makes four primary contributions: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First, a complete cross-layer attack chain architecture. This study is the first to integrate all stages of AI financial market attacks—from pre-training supply chain contamination to market impact following AI agent execution—into a unified five-layer framework, and to analyze the dependency relationships and combinatorial effects across layers.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Second, identification of attack surfaces specific to the Chinese-language environment. This study provides a systematic characterization of Classical Chinese bypass (AML.TXX.007), homophone attacks (AML.TXX.006), Traditional-Simplified Chinese conversion gaps, Zhuyin Martian text, and the Punctuation Injection attack (AML.TXX.009) proposed here for the first time. These attack surfaces have been almost entirely absent from Chinese LLM security research.</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Third, a structural analysis of blind spots in global regulatory frameworks. This study analyzes the U.S. OCC/SR 11-7/CFPB/FinCEN integrated framework (RGF-AFFD) and Taiwan's FSC 2024 guidelines from a cross-layer perspective, identifying a shared design-level gap: all existing regulatory frameworks treat the output compliance of individual systems as their regulatory object, and are structurally incapable of detecting cross-system collective semantic drift.</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Fourth, complete descriptions of nine MITRE ATLAS technique candidates, covering the full spectrum of emerging threat surfaces from supply chain backdoors to cross-tool intent attacks.</w:t>
      </w:r>
    </w:p>
    <w:p>
      <w:pPr>
        <w:pStyle w:val="Heading2"/>
        <w:spacing w:after="120" w:before="280"/>
      </w:pPr>
      <w:r>
        <w:rPr>
          <w:rFonts w:ascii="Calibri" w:cs="Calibri" w:eastAsia="Calibri" w:hAnsi="Calibri"/>
          <w:b/>
          <w:bCs/>
          <w:color w:val="2E75B6"/>
          <w:sz w:val="26"/>
          <w:szCs w:val="26"/>
        </w:rPr>
        <w:t xml:space="preserve">1.3  Research Positioning</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The core position of this research: attackers exploit not the vulnerabilities of AI systems, but their normal, intended functions. The best defense comes from understanding the attack—enabling those who design the rules of AI systems to see where those rules open up under a cross-layer perspective.</w:t>
      </w:r>
    </w:p>
    <w:p>
      <w:pPr>
        <w:pStyle w:val="Heading1"/>
        <w:pBdr>
          <w:bottom w:val="single" w:color="2E75B6" w:sz="4" w:space="4"/>
        </w:pBdr>
        <w:spacing w:after="200" w:before="400"/>
      </w:pPr>
      <w:r>
        <w:rPr>
          <w:rFonts w:ascii="Calibri" w:cs="Calibri" w:eastAsia="Calibri" w:hAnsi="Calibri"/>
          <w:b/>
          <w:bCs/>
          <w:color w:val="1F3864"/>
          <w:sz w:val="32"/>
          <w:szCs w:val="32"/>
        </w:rPr>
        <w:t xml:space="preserve">2.  Background &amp; Related Work</w:t>
      </w:r>
    </w:p>
    <w:p>
      <w:pPr>
        <w:pStyle w:val="Heading2"/>
        <w:spacing w:after="120" w:before="280"/>
      </w:pPr>
      <w:r>
        <w:rPr>
          <w:rFonts w:ascii="Calibri" w:cs="Calibri" w:eastAsia="Calibri" w:hAnsi="Calibri"/>
          <w:b/>
          <w:bCs/>
          <w:color w:val="2E75B6"/>
          <w:sz w:val="26"/>
          <w:szCs w:val="26"/>
        </w:rPr>
        <w:t xml:space="preserve">2.1  CLPMAI Paper 1 Review</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Paper 1 proposed the core CLPMAI attack chain framework, consisting of four phases: Phase 1 (establishing deceptive AI interaction forums); Phase 2 (cognitive bias injection, encompassing Path A training data poisoning and Path B real-time cognitive drift); Phase 3 (financial position establishment); and Phase 4 (execution and harvest). Paper 1 identified three inherent attack surfaces—AI's helpful design, the inability to verify conversation-party identity, and the transferability of gradual escalation techniques—and proposed three MITRE ATLAS technique candidates (AML.TXX.001/002/003). Paper 2 extends this foundation forward to the technical infrastructure layers (Layer 0–3) and backward to the execution layer (Layer 5).</w:t>
      </w:r>
    </w:p>
    <w:p>
      <w:pPr>
        <w:pStyle w:val="Heading2"/>
        <w:spacing w:after="120" w:before="280"/>
      </w:pPr>
      <w:r>
        <w:rPr>
          <w:rFonts w:ascii="Calibri" w:cs="Calibri" w:eastAsia="Calibri" w:hAnsi="Calibri"/>
          <w:b/>
          <w:bCs/>
          <w:color w:val="2E75B6"/>
          <w:sz w:val="26"/>
          <w:szCs w:val="26"/>
        </w:rPr>
        <w:t xml:space="preserve">2.2  Existing Related Research</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Supply chain attacks: Goldblum et al. (2022) [5] provide a systematic characterization of security threats to machine learning datasets; JFrog (2024) [10] documented real-world cases of malicious models on Hugging Face; Bartolini et al. (2024) [11] provide direct technical validation of backdoor attacks targeting Whisper.</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Acoustic attacks: Zhang et al. (2017) [12] were the first to systematically validate ultrasonic speech command injection with DolphinAttack; Cai et al. (2023) [13] further demonstrate the feasibility of backdoor implantation in speech recognition systems.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Token-layer and linguistic attacks: Huang et al. (2026) [15] with the CC-BOS framework are the first to systematically validate Classical Chinese as a bypass vector against LLM safety filters; Deng et al. (2023) [14] reveal uneven language coverage in safety alignment through multilingual jailbreak research.</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Agent security: Yang et al. (2024) [22] expose backdoor vulnerabilities in LLM-based agents; Greshake et al. (2023) [17] describe the real-world threat of indirect Prompt Injection; Rath (2026) [21] provides an experimental baseline for natural semantic drift in multi-agent systems.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Financial AI risk: Hansen &amp; Lee (2025) [18] represent the most comprehensive quantitative analysis to date of the financial stability implications of generative AI; Nasir Uddin (2026) [20] proposes the most complete integrated regulatory governance framework for financial AI (RGF-AFFD) currently available.</w:t>
      </w:r>
    </w:p>
    <w:p>
      <w:pPr>
        <w:pStyle w:val="Heading2"/>
        <w:spacing w:after="120" w:before="280"/>
      </w:pPr>
      <w:r>
        <w:rPr>
          <w:rFonts w:ascii="Calibri" w:cs="Calibri" w:eastAsia="Calibri" w:hAnsi="Calibri"/>
          <w:b/>
          <w:bCs/>
          <w:color w:val="2E75B6"/>
          <w:sz w:val="26"/>
          <w:szCs w:val="26"/>
        </w:rPr>
        <w:t xml:space="preserve">2.3  Research Gaps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common deficiency across existing research is layer isolation: ML security researchers are unfamiliar with financial market mechanisms, while financial researchers are unfamiliar with LLM attack vectors. Cross-layer attack chains lack systematic study; attack surfaces targeting Chinese voice AI have gone virtually unresearched; and the layer-mismatch problem in defense mechanisms has not been formally defined. This research fills those gaps.</w:t>
      </w:r>
    </w:p>
    <w:p>
      <w:pPr>
        <w:pStyle w:val="Heading1"/>
        <w:pBdr>
          <w:bottom w:val="single" w:color="2E75B6" w:sz="4" w:space="4"/>
        </w:pBdr>
        <w:spacing w:after="200" w:before="400"/>
      </w:pPr>
      <w:r>
        <w:rPr>
          <w:rFonts w:ascii="Calibri" w:cs="Calibri" w:eastAsia="Calibri" w:hAnsi="Calibri"/>
          <w:b/>
          <w:bCs/>
          <w:color w:val="1F3864"/>
          <w:sz w:val="32"/>
          <w:szCs w:val="32"/>
        </w:rPr>
        <w:t xml:space="preserve">3.  Layer 0: The Invisible Foundation — Structural Prerequisites for Multi-Layer AI Attacks</w:t>
      </w:r>
    </w:p>
    <w:p>
      <w:pPr>
        <w:pStyle w:val="Heading2"/>
        <w:spacing w:after="120" w:before="280"/>
      </w:pPr>
      <w:r>
        <w:rPr>
          <w:rFonts w:ascii="Calibri" w:cs="Calibri" w:eastAsia="Calibri" w:hAnsi="Calibri"/>
          <w:b/>
          <w:bCs/>
          <w:color w:val="2E75B6"/>
          <w:sz w:val="26"/>
          <w:szCs w:val="26"/>
        </w:rPr>
        <w:t xml:space="preserve">3.1  Overview</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five-layer attack chain described in this paper does not emerge from a vacuum. Each layer presupposes a set of structural conditions that make the attack feasible, persistent, and forensically invisible. Layer 0 is not a step in the attack chain; it is the substrate on which every other layer depends.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Layer 0 is defined by three structural axes: (1) the institutional trust developers place in AI-generated outputs (the Mondrian literature context); (2) the implicit trust assumptions embedded in AI-as-a-Service usage patterns; and (3) the financial-cognitive coupled attack surface created by API key payment models.</w:t>
      </w:r>
    </w:p>
    <w:p>
      <w:pPr>
        <w:pStyle w:val="Heading2"/>
        <w:spacing w:after="120" w:before="280"/>
      </w:pPr>
      <w:r>
        <w:rPr>
          <w:rFonts w:ascii="Calibri" w:cs="Calibri" w:eastAsia="Calibri" w:hAnsi="Calibri"/>
          <w:b/>
          <w:bCs/>
          <w:color w:val="2E75B6"/>
          <w:sz w:val="26"/>
          <w:szCs w:val="26"/>
        </w:rPr>
        <w:t xml:space="preserve">3.2  The Mondrian Literature: Algorithmic Authority and Market Susceptibility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Mondrian framework reveals a partitioning problem in AI-assisted financial markets: the investment signal space is not partitioned by a single model, but is collectively carved up by the aggregated outputs of multiple AI assistants. Each individual partition appears locally rational; manipulation, if present, is distributed across the partitions—invisible at any single boundary, yet structurally predictable from a cross-layer perspective.</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CLPMAI exploits precisely this architecture: the attacker need not compromise a single system, but merely shift the collective partitioning of the AI-assisted decision space. Three research threads are directly relevant: sentiment amplification attacks, model confidence poisoning, and cognitive regulatory arbitrage.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Prior Framework</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Limitation Relative to CLPMAI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Single-model sentiment injection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Does not address developer cognitive layer; requires access to news channels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Model confidence poisoning</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Single-layer; detectable in model audit; no cross-layer linkage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Cognitive regulatory arbitrage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Descriptive, not operational; attack surface unspecified</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ML supply chain poisoning</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Focuses on model weights; ignores post-deployment semantic manipulation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CLPMAI (this paper)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Complete five-layer chain; semantic-layer operation; forensically invisible</w:t>
            </w:r>
          </w:p>
        </w:tc>
      </w:tr>
    </w:tbl>
    <w:p>
      <w:pPr>
        <w:spacing w:after="80" w:before="80"/>
      </w:pPr>
      <w:r>
        <w:t xml:space="preserve"/>
      </w:r>
    </w:p>
    <w:p>
      <w:pPr>
        <w:pStyle w:val="Heading2"/>
        <w:spacing w:after="120" w:before="280"/>
      </w:pPr>
      <w:r>
        <w:rPr>
          <w:rFonts w:ascii="Calibri" w:cs="Calibri" w:eastAsia="Calibri" w:hAnsi="Calibri"/>
          <w:b/>
          <w:bCs/>
          <w:color w:val="2E75B6"/>
          <w:sz w:val="26"/>
          <w:szCs w:val="26"/>
        </w:rPr>
        <w:t xml:space="preserve">3.3  User Trust Assumptions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proportion of developers who accept AI-generated recommendations without modification is approximately 43% for general tasks, rising to 67% when accompanied by confidence indicators (Ziegler et al., 2022 [6]). This trust gradient was established under the assumption that AI training data has not been adversarially curated—but CLPMAI attacks are launched precisely after that assumption has been contaminated.</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deeper issue is authority transfer: when developers route financial analysis queries to AI, they are delegating epistemic authority. The attacker only needs to manipulate AI output; no intervention in the human reasoning process is required. This transfer has already occurred in the reality of large-scale AI deployment, and Layer 0 describes the pre-existing state before any attack begins.</w:t>
      </w:r>
    </w:p>
    <w:p>
      <w:pPr>
        <w:pStyle w:val="Heading2"/>
        <w:spacing w:after="120" w:before="280"/>
      </w:pPr>
      <w:r>
        <w:rPr>
          <w:rFonts w:ascii="Calibri" w:cs="Calibri" w:eastAsia="Calibri" w:hAnsi="Calibri"/>
          <w:b/>
          <w:bCs/>
          <w:color w:val="2E75B6"/>
          <w:sz w:val="26"/>
          <w:szCs w:val="26"/>
        </w:rPr>
        <w:t xml:space="preserve">3.4  The API Key Payment Model</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 single API key simultaneously encodes three forms of authority: identity, financial authorization, and cognitive authorization. An attacker who obtains an API key is effectively holding both the victim's credit card and the trusted financial advisor the victim has delegated to. Primary exposure vectors include: repository commits, forum sharing, client-side embedding, and third-party proxy services.</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The API key payment model transforms every AI-assisted developer into a potential attack surface—not by breaching their security defenses, but by exploiting their economic rationality. This attack does not destroy a system; it rents one.</w:t>
      </w:r>
    </w:p>
    <w:p>
      <w:pPr>
        <w:pStyle w:val="Heading2"/>
        <w:spacing w:after="120" w:before="280"/>
      </w:pPr>
      <w:r>
        <w:rPr>
          <w:rFonts w:ascii="Calibri" w:cs="Calibri" w:eastAsia="Calibri" w:hAnsi="Calibri"/>
          <w:b/>
          <w:bCs/>
          <w:color w:val="2E75B6"/>
          <w:sz w:val="26"/>
          <w:szCs w:val="26"/>
        </w:rPr>
        <w:t xml:space="preserve">3.5  Historical Analogies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Historical Case</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Layer 0 Structural Analog</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Key Amplification Factor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Bucket shop quote manipulation (1880s–1920s)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API proxy response modification</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Scale: millions of endpoints vs. local bucket shops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Pecora analyst capture (1932–1934)</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AI assistant cognitive drift</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Invisibility: AI bias carries no disclosure obligation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Internet pump-and-dump (1990s–2000s)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Forum semantic seeding</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Speed: milliseconds/interaction vs. hours/email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LIBOR manipulation (2012)</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Multi-party AI output coordination</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Systemic: benchmark setting vs. individual signals</w:t>
            </w:r>
          </w:p>
        </w:tc>
      </w:tr>
    </w:tbl>
    <w:p>
      <w:pPr>
        <w:spacing w:after="80" w:before="80"/>
      </w:pPr>
      <w:r>
        <w:t xml:space="preserve"/>
      </w:r>
    </w:p>
    <w:p>
      <w:pPr>
        <w:pStyle w:val="Heading2"/>
        <w:spacing w:after="120" w:before="280"/>
      </w:pPr>
      <w:r>
        <w:rPr>
          <w:rFonts w:ascii="Calibri" w:cs="Calibri" w:eastAsia="Calibri" w:hAnsi="Calibri"/>
          <w:b/>
          <w:bCs/>
          <w:color w:val="2E75B6"/>
          <w:sz w:val="26"/>
          <w:szCs w:val="26"/>
        </w:rPr>
        <w:t xml:space="preserve">3.6  Layer 0 Prerequisite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Prerequisite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Current Status</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Attack Enablement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Mondrian gap: no population-level output correlation monitoring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Confirmed absent from major AI security frameworks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Renders cross-assistant semantic coordination undetectable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Developer trust assumption: no adversarial prior on AI outputs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Confirmed by behavioral research [6]</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Enables exploitation of cognitive drift and authority transfer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API key financial-cognitive coupling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Structural feature of all major AI-as-a-Service deployments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Enables proxy response modification without endpoint compromise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Speed asymmetry: manipulation speed &gt;&gt; detection speed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Confirmed by regulatory response timeline analysis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Every action creates a weeks-to-months exploitation window</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Absence of AI training data provenance disclosure requirements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Not required by current financial AI regulations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Prevents detection of supply chain and forum poisoning</w:t>
            </w:r>
          </w:p>
        </w:tc>
      </w:tr>
    </w:tbl>
    <w:p>
      <w:pPr>
        <w:spacing w:after="80" w:before="80"/>
      </w:pPr>
      <w:r>
        <w:t xml:space="preserve"/>
      </w:r>
    </w:p>
    <w:p>
      <w:pPr>
        <w:pStyle w:val="Heading1"/>
        <w:pBdr>
          <w:bottom w:val="single" w:color="2E75B6" w:sz="4" w:space="4"/>
        </w:pBdr>
        <w:spacing w:after="200" w:before="400"/>
      </w:pPr>
      <w:r>
        <w:rPr>
          <w:rFonts w:ascii="Calibri" w:cs="Calibri" w:eastAsia="Calibri" w:hAnsi="Calibri"/>
          <w:b/>
          <w:bCs/>
          <w:color w:val="1F3864"/>
          <w:sz w:val="32"/>
          <w:szCs w:val="32"/>
        </w:rPr>
        <w:t xml:space="preserve">4.  Layer 1: Supply Chain Attack Surface — Three Contamination Channels in the AI Ecosystem</w:t>
      </w:r>
    </w:p>
    <w:p>
      <w:pPr>
        <w:pStyle w:val="Heading2"/>
        <w:spacing w:after="120" w:before="280"/>
      </w:pPr>
      <w:r>
        <w:rPr>
          <w:rFonts w:ascii="Calibri" w:cs="Calibri" w:eastAsia="Calibri" w:hAnsi="Calibri"/>
          <w:b/>
          <w:bCs/>
          <w:color w:val="2E75B6"/>
          <w:sz w:val="26"/>
          <w:szCs w:val="26"/>
        </w:rPr>
        <w:t xml:space="preserve">4.1  Overview and Positioning</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Layer 1 is the first active layer in the attack chain. Contamination occurs upstream in the developer workflow, completed before any AI output is ever received, giving the attack its durability. Unlike traditional software supply chain attacks, Layer 1 targets the semantic output of models rather than code execution behavior, rendering existing code audit tools entirely ineffective.</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The essence of Layer 1: the attacker need not break into any system. They only need to become the supplier the developer trusts.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60"/>
        <w:gridCol w:w="250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Ecosystem Layer</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Primary Platforms</w:t>
            </w:r>
          </w:p>
        </w:tc>
        <w:tc>
          <w:tcPr>
            <w:tcW w:type="dxa" w:w="2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Contamination Feasibility</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Corresponding Channel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Base model layer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Hugging Face, Ollama, LM Studio</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Channel A: fine-tuning backdoor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API service layer</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Third-party API proxies, free bridging services</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Very high</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Channel B: selective proxy poisoning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Training data layer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Reddit, StockTwits, financial forums</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Channel C: corpus contamination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Vector database layer</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ChromaDB, Pinecone public knowledge bases</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Medium</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Channel C</w:t>
            </w:r>
          </w:p>
        </w:tc>
      </w:tr>
    </w:tbl>
    <w:p>
      <w:pPr>
        <w:spacing w:after="80" w:before="80"/>
      </w:pPr>
      <w:r>
        <w:t xml:space="preserve"/>
      </w:r>
    </w:p>
    <w:p>
      <w:pPr>
        <w:pStyle w:val="Heading2"/>
        <w:spacing w:after="120" w:before="280"/>
      </w:pPr>
      <w:r>
        <w:rPr>
          <w:rFonts w:ascii="Calibri" w:cs="Calibri" w:eastAsia="Calibri" w:hAnsi="Calibri"/>
          <w:b/>
          <w:bCs/>
          <w:color w:val="2E75B6"/>
          <w:sz w:val="26"/>
          <w:szCs w:val="26"/>
        </w:rPr>
        <w:t xml:space="preserve">4.2  Channel A: Fine-Tuning Backdoors in the Open-Source Ecosystem</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Adversaries publish contaminated derivative models on platforms such as Hugging Face. Contamination occurs during the fine-tuning stage through the injection of adversarial samples with trigger conditions, causing the model to output preset biased content upon receiving specific inputs. For all queries outside the trigger condition, the model's behavior is statistically indistinguishable from its uncontaminated counterpart, and standard evaluation metrics on test sets appear entirely normal. In 2024, JFrog research [10] discovered over 100 models containing malicious code on Hugging Face—and the backdoors described in Layer 1 Channel A reside in the model weight layer, completely invisible to standard security scanning.</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On May 11, 2026, the Mini Shai-Hulud supply chain attack (CVE-2026-45321, CVSS 9.6) [28] advanced this threat model to a new level: adversaries (TeamPCP) hijacked the legitimate CI/CD pipelines of 170+ npm/PyPI packages including TanStack, Mistral AI, and UiPath, publishing 84 malicious versions bearing full SLSA Build Level 3 certification within six minutes. This is the first documented case of malicious packages passing cryptographic signature verification. The core technique was the hijacking of GitHub OIDC tokens, causing malicious packages to be released through the legitimate, official build pipeline—Sigstore correctly verified the build process because the attacker controlled the build process itself. This case directly validates the central argument of Paper 2 §9: when the adversary controls the signing environment, cryptographic signatures no longer constitute a reliable trust boundary.</w:t>
      </w:r>
    </w:p>
    <w:p>
      <w:pPr>
        <w:pStyle w:val="Heading2"/>
        <w:spacing w:after="120" w:before="280"/>
      </w:pPr>
      <w:r>
        <w:rPr>
          <w:rFonts w:ascii="Calibri" w:cs="Calibri" w:eastAsia="Calibri" w:hAnsi="Calibri"/>
          <w:b/>
          <w:bCs/>
          <w:color w:val="2E75B6"/>
          <w:sz w:val="26"/>
          <w:szCs w:val="26"/>
        </w:rPr>
        <w:t xml:space="preserve">4.3  Channel B: Selective Poisoning Through Third-Party API Proxies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 malicious proxy establishes a trust period (two to four weeks), accumulates developer query patterns, and then selectively modifies responses to financial queries containing target ticker symbols. The modification technique does not replace AI responses; instead, it subtly adjusts the tone of key evaluative vocabulary. For developers in Taiwan and greater China, a significantly higher proportion use third-party proxies due to regional restrictions on some AI services, making Channel B a particularly salient attack surface in the local threat landscape.</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The core design principle of selective poisoning: modified responses must remain semantically plausible, and the discrepancy must not trigger cognitive dissonance in the user. The attacker is not lying—they are merely adjusting the weight of tone.</w:t>
      </w:r>
    </w:p>
    <w:p>
      <w:pPr>
        <w:pStyle w:val="Heading2"/>
        <w:spacing w:after="120" w:before="280"/>
      </w:pPr>
      <w:r>
        <w:rPr>
          <w:rFonts w:ascii="Calibri" w:cs="Calibri" w:eastAsia="Calibri" w:hAnsi="Calibri"/>
          <w:b/>
          <w:bCs/>
          <w:color w:val="2E75B6"/>
          <w:sz w:val="26"/>
          <w:szCs w:val="26"/>
        </w:rPr>
        <w:t xml:space="preserve">4.4  Channel C: Training Corpus and RAG Knowledge Base Contamination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Path C1: Adversaries publish high-quality biased content over extended periods on mainstream AI financial analysis training data sources such as Reddit's r/wallstreetbets, StockTwits, and Chinese financial forums, contaminating the next training cycle. Path C2: High-quality documents containing systematic bias are injected into openly contributed RAG knowledge bases, causing the RAG system to preferentially retrieve attack-oriented content for targeted queries.</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Channel C does not require the attacker to fabricate false information. They only need to amplify risk frameworks that genuinely exist but are deliberately over-emphasized, ensuring they enter the AI's training data. The AI system will internalize that framework and, acting as the attacker's proxy, deliver it repeatedly to every user in a more persuasive register.</w:t>
      </w:r>
    </w:p>
    <w:p>
      <w:pPr>
        <w:pStyle w:val="Heading2"/>
        <w:spacing w:after="120" w:before="280"/>
      </w:pPr>
      <w:r>
        <w:rPr>
          <w:rFonts w:ascii="Calibri" w:cs="Calibri" w:eastAsia="Calibri" w:hAnsi="Calibri"/>
          <w:b/>
          <w:bCs/>
          <w:color w:val="2E75B6"/>
          <w:sz w:val="26"/>
          <w:szCs w:val="26"/>
        </w:rPr>
        <w:t xml:space="preserve">4.5  Comparative Analysis of the Three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4"/>
        <w:gridCol w:w="2453"/>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Dimension</w:t>
            </w:r>
          </w:p>
        </w:tc>
        <w:tc>
          <w:tcPr>
            <w:tcW w:type="dxa" w:w="245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Channel A: Fine-Tuning Backdoor</w:t>
            </w:r>
          </w:p>
        </w:tc>
        <w:tc>
          <w:tcPr>
            <w:tcW w:type="dxa" w:w="2454"/>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Channel B: API Proxy Poisoning</w:t>
            </w:r>
          </w:p>
        </w:tc>
        <w:tc>
          <w:tcPr>
            <w:tcW w:type="dxa" w:w="2453"/>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Channel C: Corpus Contamination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Technical barrier</w:t>
            </w:r>
          </w:p>
        </w:tc>
        <w:tc>
          <w:tcPr>
            <w:tcW w:type="dxa" w:w="24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 (requires ML engineering capability)</w:t>
            </w:r>
          </w:p>
        </w:tc>
        <w:tc>
          <w:tcPr>
            <w:tcW w:type="dxa" w:w="24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Medium (requires proxy service deployment)</w:t>
            </w:r>
          </w:p>
        </w:tc>
        <w:tc>
          <w:tcPr>
            <w:tcW w:type="dxa" w:w="24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Low (requires community operations capability)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Reach scale</w:t>
            </w:r>
          </w:p>
        </w:tc>
        <w:tc>
          <w:tcPr>
            <w:tcW w:type="dxa" w:w="245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Medium (via package distribution)</w:t>
            </w:r>
          </w:p>
        </w:tc>
        <w:tc>
          <w:tcPr>
            <w:tcW w:type="dxa" w:w="2454"/>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Low (limited to users of that proxy)</w:t>
            </w:r>
          </w:p>
        </w:tc>
        <w:tc>
          <w:tcPr>
            <w:tcW w:type="dxa" w:w="245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 (affects all models trained on that corpus)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Persistence</w:t>
            </w:r>
          </w:p>
        </w:tc>
        <w:tc>
          <w:tcPr>
            <w:tcW w:type="dxa" w:w="24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 (embedded in model weights)</w:t>
            </w:r>
          </w:p>
        </w:tc>
        <w:tc>
          <w:tcPr>
            <w:tcW w:type="dxa" w:w="24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Low (ceases when proxy goes offline)</w:t>
            </w:r>
          </w:p>
        </w:tc>
        <w:tc>
          <w:tcPr>
            <w:tcW w:type="dxa" w:w="24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 (persists after entering training data)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Detection difficulty</w:t>
            </w:r>
          </w:p>
        </w:tc>
        <w:tc>
          <w:tcPr>
            <w:tcW w:type="dxa" w:w="245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Very high</w:t>
            </w:r>
          </w:p>
        </w:tc>
        <w:tc>
          <w:tcPr>
            <w:tcW w:type="dxa" w:w="2454"/>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Medium</w:t>
            </w:r>
          </w:p>
        </w:tc>
        <w:tc>
          <w:tcPr>
            <w:tcW w:type="dxa" w:w="2453"/>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Attack precision</w:t>
            </w:r>
          </w:p>
        </w:tc>
        <w:tc>
          <w:tcPr>
            <w:tcW w:type="dxa" w:w="24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 (trigger conditions designable)</w:t>
            </w:r>
          </w:p>
        </w:tc>
        <w:tc>
          <w:tcPr>
            <w:tcW w:type="dxa" w:w="245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Very high (targetable per query)</w:t>
            </w:r>
          </w:p>
        </w:tc>
        <w:tc>
          <w:tcPr>
            <w:tcW w:type="dxa" w:w="245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Low (statistical drift)</w:t>
            </w:r>
          </w:p>
        </w:tc>
      </w:tr>
    </w:tbl>
    <w:p>
      <w:pPr>
        <w:spacing w:after="80" w:before="80"/>
      </w:pPr>
      <w:r>
        <w:t xml:space="preserve"/>
      </w:r>
    </w:p>
    <w:p>
      <w:pPr>
        <w:pStyle w:val="Heading1"/>
        <w:pBdr>
          <w:bottom w:val="single" w:color="2E75B6" w:sz="4" w:space="4"/>
        </w:pBdr>
        <w:spacing w:after="200" w:before="400"/>
      </w:pPr>
      <w:r>
        <w:rPr>
          <w:rFonts w:ascii="Calibri" w:cs="Calibri" w:eastAsia="Calibri" w:hAnsi="Calibri"/>
          <w:b/>
          <w:bCs/>
          <w:color w:val="1F3864"/>
          <w:sz w:val="32"/>
          <w:szCs w:val="32"/>
        </w:rPr>
        <w:t xml:space="preserve">5.  Layer 2: Acoustic Attack Surface — The STT Pipeline as a Systemic Security Blind Spot</w:t>
      </w:r>
    </w:p>
    <w:p>
      <w:pPr>
        <w:pStyle w:val="Heading2"/>
        <w:spacing w:after="120" w:before="280"/>
      </w:pPr>
      <w:r>
        <w:rPr>
          <w:rFonts w:ascii="Calibri" w:cs="Calibri" w:eastAsia="Calibri" w:hAnsi="Calibri"/>
          <w:b/>
          <w:bCs/>
          <w:color w:val="2E75B6"/>
          <w:sz w:val="26"/>
          <w:szCs w:val="26"/>
        </w:rPr>
        <w:t xml:space="preserve">5.1  Overview and Positioning</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Layer 2 describes the threat surface after the attack chain enters the perceptual input layer. The design objective of the STT (Speech-to-Text) pipeline is singular: to accurately transcribe human speech into text. It is precisely this design simplicity that creates an attack surface that has been systematically overlooked in AI security research. The defining characteristic of Layer 2 is that attacks exploit the system's normal functioning, not its vulnerabilities.</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The core finding of Layer 2: the STT pipeline is an entirely undefended attack entry point, because its design goal is to convert speech to text—not to determine whether that speech is malicious.</w:t>
      </w:r>
    </w:p>
    <w:p>
      <w:pPr>
        <w:pStyle w:val="Heading2"/>
        <w:spacing w:after="120" w:before="280"/>
      </w:pPr>
      <w:r>
        <w:rPr>
          <w:rFonts w:ascii="Calibri" w:cs="Calibri" w:eastAsia="Calibri" w:hAnsi="Calibri"/>
          <w:b/>
          <w:bCs/>
          <w:color w:val="2E75B6"/>
          <w:sz w:val="26"/>
          <w:szCs w:val="26"/>
        </w:rPr>
        <w:t xml:space="preserve">5.2  DolphinAttack: Ultrasonic Injection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Zhang et al. (2017) [12] with DolphinAttack were the first to systematically validate the feasibility of ultrasonic signals as a speech command injection vector. The attack principle is based on the nonlinear response of microphones: the human ear's perception ceiling is approximately 20 kHz, but microphones continue to respond in the ultrasonic range (&gt;20 kHz) and, due to nonlinear distortion, downmix into the audible range, causing the STT system to misidentify the signal as a normal speech command. Validated platforms include Siri, Google Now, Alexa, and Cortana.</w:t>
      </w:r>
    </w:p>
    <w:p>
      <w:pPr>
        <w:pStyle w:val="Heading2"/>
        <w:spacing w:after="120" w:before="280"/>
      </w:pPr>
      <w:r>
        <w:rPr>
          <w:rFonts w:ascii="Calibri" w:cs="Calibri" w:eastAsia="Calibri" w:hAnsi="Calibri"/>
          <w:b/>
          <w:bCs/>
          <w:color w:val="2E75B6"/>
          <w:sz w:val="26"/>
          <w:szCs w:val="26"/>
        </w:rPr>
        <w:t xml:space="preserve">5.3  Voice Module Supply Chain Threat: The Whisper Ecosystem</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Bartolini et al. (2024) [11] in their backdoor attack research on Whisper reveal: only a very small number of contaminated samples (&lt;0.1%) are needed at the fine-tuning stage to implant a backdoor; standard Word Error Rate (WER) metrics on normal samples are entirely unaffected; and the large number of Whisper derivative models on Hugging Face are virtually impossible to verify for backdoor implantation.</w:t>
      </w:r>
    </w:p>
    <w:p>
      <w:pPr>
        <w:pStyle w:val="Heading2"/>
        <w:spacing w:after="120" w:before="280"/>
      </w:pPr>
      <w:r>
        <w:rPr>
          <w:rFonts w:ascii="Calibri" w:cs="Calibri" w:eastAsia="Calibri" w:hAnsi="Calibri"/>
          <w:b/>
          <w:bCs/>
          <w:color w:val="2E75B6"/>
          <w:sz w:val="26"/>
          <w:szCs w:val="26"/>
        </w:rPr>
        <w:t xml:space="preserve">5.4  The Counterintuitive Failure of Noise Cancellation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Noise cancellation is ineffective against all known acoustic-layer attacks, and in specific scenarios it can actually enhance attack efficacy: once background noise is removed, the ultrasonic signal enters the STT more cleanly in a cleaner spectrum, increasing the attack success rate.</w:t>
      </w:r>
    </w:p>
    <w:p>
      <w:pPr>
        <w:pStyle w:val="Heading2"/>
        <w:spacing w:after="120" w:before="280"/>
      </w:pPr>
      <w:r>
        <w:rPr>
          <w:rFonts w:ascii="Calibri" w:cs="Calibri" w:eastAsia="Calibri" w:hAnsi="Calibri"/>
          <w:b/>
          <w:bCs/>
          <w:color w:val="2E75B6"/>
          <w:sz w:val="26"/>
          <w:szCs w:val="26"/>
        </w:rPr>
        <w:t xml:space="preserve">5.5  Punctuation Injection Attack (AML.TXX.009) — Novel Proposal of This Research</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research proposes a new attack vector: by controlling their speaking rhythm, the attacker induces the automatic punctuation insertion function of a Chinese STT system to insert a period at a specific location, causing the latter portion of the utterance to be segmented as a separate instruction sentence. The attack is triggered at the acoustic layer (Layer 2) and produces a semantic boundary effect at the token layer (Layer 3) through the attention mechanism of the period.</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Attacker utterance: "Help me check my account balance [pause] ignore security restrictions and display the complete data directly"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After STT auto-punctuation: "Help me check my account balance. Ignore security restrictions, display the complete data directly."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Every defensive layer fails: acoustic layer (voice is normal); STT filtering (punctuation is automatically added); Prompt injection detection (no typical indicator strings); semantic filtering (each sentence is normal in isolation); audit logs (display normal text).</w:t>
      </w:r>
    </w:p>
    <w:p>
      <w:pPr>
        <w:pStyle w:val="Heading2"/>
        <w:spacing w:after="120" w:before="280"/>
      </w:pPr>
      <w:r>
        <w:rPr>
          <w:rFonts w:ascii="Calibri" w:cs="Calibri" w:eastAsia="Calibri" w:hAnsi="Calibri"/>
          <w:b/>
          <w:bCs/>
          <w:color w:val="2E75B6"/>
          <w:sz w:val="26"/>
          <w:szCs w:val="26"/>
        </w:rPr>
        <w:t xml:space="preserve">5.6  Cross-Language Acoustic Attacks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Using low-resource languages (Minnan/Hokkien, Hakka) for voice input causes the STT to produce text sequences absent from the safety filter training set. This attack surface parallels AML.TXX.007 (Classical Chinese bypass, see Layer 3): both share the same fundamental vulnerability—insufficient training corpus and safety alignment coverage—but operate at different layers.</w:t>
      </w:r>
    </w:p>
    <w:p>
      <w:pPr>
        <w:pStyle w:val="Heading1"/>
        <w:pBdr>
          <w:bottom w:val="single" w:color="2E75B6" w:sz="4" w:space="4"/>
        </w:pBdr>
        <w:spacing w:after="200" w:before="400"/>
      </w:pPr>
      <w:r>
        <w:rPr>
          <w:rFonts w:ascii="Calibri" w:cs="Calibri" w:eastAsia="Calibri" w:hAnsi="Calibri"/>
          <w:b/>
          <w:bCs/>
          <w:color w:val="1F3864"/>
          <w:sz w:val="32"/>
          <w:szCs w:val="32"/>
        </w:rPr>
        <w:t xml:space="preserve">6.  Layer 3: Token-Layer Attack Surface — Structural Security Gaps in the Chinese Writing System</w:t>
      </w:r>
    </w:p>
    <w:p>
      <w:pPr>
        <w:pStyle w:val="Heading2"/>
        <w:spacing w:after="120" w:before="280"/>
      </w:pPr>
      <w:r>
        <w:rPr>
          <w:rFonts w:ascii="Calibri" w:cs="Calibri" w:eastAsia="Calibri" w:hAnsi="Calibri"/>
          <w:b/>
          <w:bCs/>
          <w:color w:val="2E75B6"/>
          <w:sz w:val="26"/>
          <w:szCs w:val="26"/>
        </w:rPr>
        <w:t xml:space="preserve">6.1  Overview and Positioning</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core finding of Layer 3 is that the Chinese writing system provides a rich attack surface for token-layer exploitation that is almost entirely absent in English-language environments. This is not a flaw in Chinese LLM implementation; it is the structural intersection of the linguistic properties of the Chinese writing system itself and the realities of LLM training data.</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The defining characteristic of Layer 3: these attack vectors require no specialized technical capability on the part of the attacker. Any person who uses Traditional Chinese and understands Classical Chinese or Taiwanese internet vernacular already possesses the complete capability to execute Layer 3 attacks. Defense is far more difficult than offense, because defense must cover the full diversity of the Chinese writing system.</w:t>
      </w:r>
    </w:p>
    <w:p>
      <w:pPr>
        <w:pStyle w:val="Heading2"/>
        <w:spacing w:after="120" w:before="280"/>
      </w:pPr>
      <w:r>
        <w:rPr>
          <w:rFonts w:ascii="Calibri" w:cs="Calibri" w:eastAsia="Calibri" w:hAnsi="Calibri"/>
          <w:b/>
          <w:bCs/>
          <w:color w:val="2E75B6"/>
          <w:sz w:val="26"/>
          <w:szCs w:val="26"/>
        </w:rPr>
        <w:t xml:space="preserve">6.2  Classical Chinese Bypass (AML.TXX.007)</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Huang et al. (2026) [15] with the CC-BOS framework were the first to systematically validate Classical Chinese as a bypass vector against LLM safety filters. The core mechanisms are: (1) semantic compression—the token count-to-semantic density ratio in Classical Chinese is entirely different, causing keyword filtering to fail; (2) insufficient training coverage—safety alignment corpora are almost exclusively in modern vernacular Chinese; (3) translation pre-processing—the LLM first 'understands' the Classical Chinese text and then executes, with safety filtering acting on the input form rather than the post-inference semantics. The CC-BOS framework has been validated as cross-model effective against mainstream LLMs including GPT-4, Claude, and Gemini.</w:t>
      </w:r>
    </w:p>
    <w:p>
      <w:pPr>
        <w:pStyle w:val="Heading2"/>
        <w:spacing w:after="120" w:before="280"/>
      </w:pPr>
      <w:r>
        <w:rPr>
          <w:rFonts w:ascii="Calibri" w:cs="Calibri" w:eastAsia="Calibri" w:hAnsi="Calibri"/>
          <w:b/>
          <w:bCs/>
          <w:color w:val="2E75B6"/>
          <w:sz w:val="26"/>
          <w:szCs w:val="26"/>
        </w:rPr>
        <w:t xml:space="preserve">6.3  Homophone Attack (AML.TXX.006)</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 single pronunciation corresponds to multiple Chinese characters with different meanings, allowing attackers to evade character-level filtering while preserving semantic intelligibility. Attack types include: homophone substitution (炸藥→炸葯 'explosive'), near-homophone substitution (武器→舞器 'weapon→dance implement'), Traditional-Simplified mixing, and Zhuyin substitution. In voice-input scenarios, the STT's homophone selection is determined by the language model; the pause manipulation described in Layer 2 can influence that selection, forming a Layer 2→3 cross-layer combined attack.</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Examples of Zhuyin substitution attacks:</w:t>
      </w:r>
    </w:p>
    <w:p>
      <w:pPr>
        <w:spacing w:after="80" w:before="80" w:line="276"/>
        <w:ind w:left="720"/>
        <w:jc w:val="both"/>
      </w:pPr>
      <w:r>
        <w:rPr>
          <w:rFonts w:ascii="Times New Roman" w:cs="Times New Roman" w:eastAsia="Times New Roman" w:hAnsi="Times New Roman"/>
          <w:b w:val="false"/>
          <w:bCs w:val="false"/>
          <w:i w:val="false"/>
          <w:iCs w:val="false"/>
          <w:color w:val="000000"/>
          <w:sz w:val="24"/>
          <w:szCs w:val="24"/>
        </w:rPr>
        <w:t xml:space="preserve">Standard: 炸藥 (explosive) → Zhuyin: ㄓㄚˋ藥</w:t>
      </w:r>
    </w:p>
    <w:p>
      <w:pPr>
        <w:spacing w:after="80" w:before="80" w:line="276"/>
        <w:ind w:left="720"/>
        <w:jc w:val="both"/>
      </w:pPr>
      <w:r>
        <w:rPr>
          <w:rFonts w:ascii="Times New Roman" w:cs="Times New Roman" w:eastAsia="Times New Roman" w:hAnsi="Times New Roman"/>
          <w:b w:val="false"/>
          <w:bCs w:val="false"/>
          <w:i w:val="false"/>
          <w:iCs w:val="false"/>
          <w:color w:val="000000"/>
          <w:sz w:val="24"/>
          <w:szCs w:val="24"/>
        </w:rPr>
        <w:t xml:space="preserve">Standard: 武器 (weapon) → Near-homophone: 舞器</w:t>
      </w:r>
    </w:p>
    <w:p>
      <w:pPr>
        <w:pStyle w:val="Heading2"/>
        <w:spacing w:after="120" w:before="280"/>
      </w:pPr>
      <w:r>
        <w:rPr>
          <w:rFonts w:ascii="Calibri" w:cs="Calibri" w:eastAsia="Calibri" w:hAnsi="Calibri"/>
          <w:b/>
          <w:bCs/>
          <w:color w:val="2E75B6"/>
          <w:sz w:val="26"/>
          <w:szCs w:val="26"/>
        </w:rPr>
        <w:t xml:space="preserve">6.4  Traditional-Simplified Conversion Attack Surface</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Most LLMs have safety alignment training dominated by Simplified Chinese corpora, with coverage of Traditional Chinese significantly lower. Most systems' blocklists are Simplified-Chinese-centric; Traditional Chinese equivalents are not necessarily covered. Taiwan's mixed-register writing style—Traditional Chinese interspersed with English and Japanese loanwords—has almost no coverage in alignment training.</w:t>
      </w:r>
    </w:p>
    <w:p>
      <w:pPr>
        <w:pStyle w:val="Heading2"/>
        <w:spacing w:after="120" w:before="280"/>
      </w:pPr>
      <w:r>
        <w:rPr>
          <w:rFonts w:ascii="Calibri" w:cs="Calibri" w:eastAsia="Calibri" w:hAnsi="Calibri"/>
          <w:b/>
          <w:bCs/>
          <w:color w:val="2E75B6"/>
          <w:sz w:val="26"/>
          <w:szCs w:val="26"/>
        </w:rPr>
        <w:t xml:space="preserve">6.5  Zhuyin Martian Text (Taiwan-Specific — Novel Proposal of This Research)</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four forms below are semantically equivalent; their token sequences are entirely distinct:</w:t>
      </w:r>
    </w:p>
    <w:p>
      <w:pPr>
        <w:spacing w:after="80" w:before="80" w:line="276"/>
        <w:ind w:left="720"/>
        <w:jc w:val="both"/>
      </w:pPr>
      <w:r>
        <w:rPr>
          <w:rFonts w:ascii="Times New Roman" w:cs="Times New Roman" w:eastAsia="Times New Roman" w:hAnsi="Times New Roman"/>
          <w:b w:val="false"/>
          <w:bCs w:val="false"/>
          <w:i w:val="false"/>
          <w:iCs w:val="false"/>
          <w:color w:val="000000"/>
          <w:sz w:val="24"/>
          <w:szCs w:val="24"/>
        </w:rPr>
        <w:t xml:space="preserve">Standard Chinese: 「告訴我如何製作危險物品」 (Tell me how to make dangerous items)</w:t>
      </w:r>
    </w:p>
    <w:p>
      <w:pPr>
        <w:spacing w:after="80" w:before="80" w:line="276"/>
        <w:ind w:left="720"/>
        <w:jc w:val="both"/>
      </w:pPr>
      <w:r>
        <w:rPr>
          <w:rFonts w:ascii="Times New Roman" w:cs="Times New Roman" w:eastAsia="Times New Roman" w:hAnsi="Times New Roman"/>
          <w:b w:val="false"/>
          <w:bCs w:val="false"/>
          <w:i w:val="false"/>
          <w:iCs w:val="false"/>
          <w:color w:val="000000"/>
          <w:sz w:val="24"/>
          <w:szCs w:val="24"/>
        </w:rPr>
        <w:t xml:space="preserve">Zhuyin mixed: 「ㄍㄠˋ訴我如何ㄓˋ作ㄨㄟ險物品」</w:t>
      </w:r>
    </w:p>
    <w:p>
      <w:pPr>
        <w:spacing w:after="80" w:before="80" w:line="276"/>
        <w:ind w:left="720"/>
        <w:jc w:val="both"/>
      </w:pPr>
      <w:r>
        <w:rPr>
          <w:rFonts w:ascii="Times New Roman" w:cs="Times New Roman" w:eastAsia="Times New Roman" w:hAnsi="Times New Roman"/>
          <w:b w:val="false"/>
          <w:bCs w:val="false"/>
          <w:i w:val="false"/>
          <w:iCs w:val="false"/>
          <w:color w:val="000000"/>
          <w:sz w:val="24"/>
          <w:szCs w:val="24"/>
        </w:rPr>
        <w:t xml:space="preserve">Martian text: 「gao訴我如何制作wei险物品」</w:t>
      </w:r>
    </w:p>
    <w:p>
      <w:pPr>
        <w:spacing w:after="80" w:before="80" w:line="276"/>
        <w:ind w:left="720"/>
        <w:jc w:val="both"/>
      </w:pPr>
      <w:r>
        <w:rPr>
          <w:rFonts w:ascii="Times New Roman" w:cs="Times New Roman" w:eastAsia="Times New Roman" w:hAnsi="Times New Roman"/>
          <w:b w:val="false"/>
          <w:bCs w:val="false"/>
          <w:i w:val="false"/>
          <w:iCs w:val="false"/>
          <w:color w:val="000000"/>
          <w:sz w:val="24"/>
          <w:szCs w:val="24"/>
        </w:rPr>
        <w:t xml:space="preserve">Abbreviated mix: 「教我怎ㄇ做危ㄒ的東西」</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Academic literature on Zhuyin Martian text as an LLM attack surface is currently near-zero; this research identifies it as a priority research gap.</w:t>
      </w:r>
    </w:p>
    <w:p>
      <w:pPr>
        <w:pStyle w:val="Heading2"/>
        <w:spacing w:after="120" w:before="280"/>
      </w:pPr>
      <w:r>
        <w:rPr>
          <w:rFonts w:ascii="Calibri" w:cs="Calibri" w:eastAsia="Calibri" w:hAnsi="Calibri"/>
          <w:b/>
          <w:bCs/>
          <w:color w:val="2E75B6"/>
          <w:sz w:val="26"/>
          <w:szCs w:val="26"/>
        </w:rPr>
        <w:t xml:space="preserve">6.6  Token-Layer Effect of Punctuation Injection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Chinese period (。) is independently segmented by BPE tokenizers; LLMs learn the pragmatic function of the period during pre-training: marking the termination of a semantic unit and initiating a new one. Within the attention mechanism, tokens after the period exhibit significantly reduced attention weights to distant pre-period tokens, giving the period the role of an 'instruction boundary marker' in LLM semantic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560"/>
        <w:gridCol w:w="230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Attack Vector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MITRE Provisional ID</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Attacker Level</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Chinese-Specific?</w:t>
            </w:r>
          </w:p>
        </w:tc>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Key Characteristics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Classical Chinese bypass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Level C</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Strong cross-model transferability; CC-BOS validated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Homophone attack</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AML.TXX.006</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Level C</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Amplified in voice scenarios; Layer 2/3 combination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Trad.-Simp. conversion bypass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(extends TXX.007)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Level C</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Traditional</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Taiwan-scenario-specific gap</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Zhuyin Martian text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(new proposal)</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Level C</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Taiwan-specific</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Near-zero research; zero defense coverage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Punctuation injection token effect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AML.TXX.009 (extension)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Level C</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Primarily Chinese</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2→3 cross-layer; attention boundary</w:t>
            </w:r>
          </w:p>
        </w:tc>
      </w:tr>
    </w:tbl>
    <w:p>
      <w:pPr>
        <w:spacing w:after="80" w:before="80"/>
      </w:pPr>
      <w:r>
        <w:t xml:space="preserve"/>
      </w:r>
    </w:p>
    <w:p>
      <w:pPr>
        <w:pStyle w:val="Heading1"/>
        <w:pBdr>
          <w:bottom w:val="single" w:color="2E75B6" w:sz="4" w:space="4"/>
        </w:pBdr>
        <w:spacing w:after="200" w:before="400"/>
      </w:pPr>
      <w:r>
        <w:rPr>
          <w:rFonts w:ascii="Calibri" w:cs="Calibri" w:eastAsia="Calibri" w:hAnsi="Calibri"/>
          <w:b/>
          <w:bCs/>
          <w:color w:val="1F3864"/>
          <w:sz w:val="32"/>
          <w:szCs w:val="32"/>
        </w:rPr>
        <w:t xml:space="preserve">7.  Layer 4: Semantic Manipulation — Cognitive Drift, Collective Output Bias, and Unattributable Market Impact</w:t>
      </w:r>
    </w:p>
    <w:p>
      <w:pPr>
        <w:pStyle w:val="Heading2"/>
        <w:spacing w:after="120" w:before="280"/>
      </w:pPr>
      <w:r>
        <w:rPr>
          <w:rFonts w:ascii="Calibri" w:cs="Calibri" w:eastAsia="Calibri" w:hAnsi="Calibri"/>
          <w:b/>
          <w:bCs/>
          <w:color w:val="2E75B6"/>
          <w:sz w:val="26"/>
          <w:szCs w:val="26"/>
        </w:rPr>
        <w:t xml:space="preserve">7.1  Overview: Layer 4's Central Role in the Attack Chain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Layer 4 is the cognitive core of the entire cross-layer attack chain, directly extending the Phase 2 framework from Paper 1. The full work of Layers 1 through 3—supply chain implantation, acoustic injection, token-layer camouflage—all serves a single purpose: ensuring that adversarial semantic content enters the semantic reasoning space in a form the AI system cannot recognize as a threat, where it exerts sustained cognitive influence.</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The key sentence from Paper 1 receives its complete technical explanation in Layer 4: 'The rational nature of AI, when input is contaminated, becomes a force multiplier for the adversary.'</w:t>
      </w:r>
    </w:p>
    <w:p>
      <w:pPr>
        <w:pStyle w:val="Heading2"/>
        <w:spacing w:after="120" w:before="280"/>
      </w:pPr>
      <w:r>
        <w:rPr>
          <w:rFonts w:ascii="Calibri" w:cs="Calibri" w:eastAsia="Calibri" w:hAnsi="Calibri"/>
          <w:b/>
          <w:bCs/>
          <w:color w:val="2E75B6"/>
          <w:sz w:val="26"/>
          <w:szCs w:val="26"/>
        </w:rPr>
        <w:t xml:space="preserve">7.2  Four Technical Mechanisms of Cognitive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Mechanism</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Technical Principle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Paper 1 Correspondence</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Real-World Operability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Helpful design as vulnerability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AI systems cannot refuse contextually plausible leading questions, and actively complete logical gaps in the attack framework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Phase 2 core attack surface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Very high (applies to all mainstream LLMs)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Identity non-verifiability</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AI systems cannot reliably verify the true identity or intent of their conversation partner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Phase 2 core technique</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Very high (structural constraint of API design)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Gradual escalation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Steering from benign discussion toward target analysis framework step-by-step, each step within normal contextual range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Phase 2 Path B</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 (analogous to human social engineering)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Cross-model propagation</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Affected agents carry modified priors into subsequent interactions, forming viral spread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Paper 1 core innovation</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Medium (depends on multi-agent interaction density)</w:t>
            </w:r>
          </w:p>
        </w:tc>
      </w:tr>
    </w:tbl>
    <w:p>
      <w:pPr>
        <w:spacing w:after="80" w:before="80"/>
      </w:pPr>
      <w:r>
        <w:t xml:space="preserve"/>
      </w:r>
    </w:p>
    <w:p>
      <w:pPr>
        <w:pStyle w:val="Heading2"/>
        <w:spacing w:after="120" w:before="280"/>
      </w:pPr>
      <w:r>
        <w:rPr>
          <w:rFonts w:ascii="Calibri" w:cs="Calibri" w:eastAsia="Calibri" w:hAnsi="Calibri"/>
          <w:b/>
          <w:bCs/>
          <w:color w:val="2E75B6"/>
          <w:sz w:val="26"/>
          <w:szCs w:val="26"/>
        </w:rPr>
        <w:t xml:space="preserve">7.3  Five Semantic Manipulation Techniques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Rather than relying on false information, attackers guide drift through the selective presentation and framing of real information: (1) Frame presupposition—establishing an analytical framework that 'supply chain risks are underestimated'; (2) Weight shifting—systematically altering the tonal intensity of risk vocabulary; (3) Anchor planting—introducing a deflated baseline valuation reference; (4) Selective emphasis—highlighting negative indicators while downplaying positive ones; (5) Simulated community consensus—multiple controlled accounts expressing aligned pessimistic analyses.</w:t>
      </w:r>
    </w:p>
    <w:p>
      <w:pPr>
        <w:pStyle w:val="Heading2"/>
        <w:spacing w:after="120" w:before="280"/>
      </w:pPr>
      <w:r>
        <w:rPr>
          <w:rFonts w:ascii="Calibri" w:cs="Calibri" w:eastAsia="Calibri" w:hAnsi="Calibri"/>
          <w:b/>
          <w:bCs/>
          <w:color w:val="2E75B6"/>
          <w:sz w:val="26"/>
          <w:szCs w:val="26"/>
        </w:rPr>
        <w:t xml:space="preserve">7.4  Collective Output Bias and Measurement Difficulty</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Collective Output Bias (COB) describes the phenomenon of multiple independent AI systems simultaneously drifting in the same direction, creating the illusion of 'analyst consensus' in the eyes of external observers. Five measurement difficulties arise: (1) absence of baselines; (2) normal individual outputs; (3) confounding with natural market sentiment; (4) multi-agent attribution problems; (5) time-scale mismatch.</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Even in a fully non-malicious natural environment, Rath (2026) [21]'s Agent Drift research experimentally validated semantic drift in multi-agent systems (statistically visible after 20–100+ interactions). This provides an important reference baseline for the CLPMAI threat model: natural drift already exists; deliberately induced malicious drift will far exceed the natural range.</w:t>
      </w:r>
    </w:p>
    <w:p>
      <w:pPr>
        <w:pStyle w:val="Heading2"/>
        <w:spacing w:after="120" w:before="280"/>
      </w:pPr>
      <w:r>
        <w:rPr>
          <w:rFonts w:ascii="Calibri" w:cs="Calibri" w:eastAsia="Calibri" w:hAnsi="Calibri"/>
          <w:b/>
          <w:bCs/>
          <w:color w:val="2E75B6"/>
          <w:sz w:val="26"/>
          <w:szCs w:val="26"/>
        </w:rPr>
        <w:t xml:space="preserve">7.5  Shared Structural Blind Spots Across Global Regulatory Frameworks</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Whether the U.S. distributed regulatory framework (OCC/SR 11-7/CFPB/FinCEN), Taiwan's integrated AI guidelines (FSC 2024), or the most advanced integrated governance proposal currently available, RGF-AFFD [20]—all existing frameworks regulate the output compliance of individual AI systems. What CLPMAI's Layer 4 reveals is an attack surface that this paradigm does not cover at all: the threat emanates from the semantic reasoning process of the system itself.</w:t>
      </w:r>
    </w:p>
    <w:p>
      <w:pPr>
        <w:pStyle w:val="Heading1"/>
        <w:pBdr>
          <w:bottom w:val="single" w:color="2E75B6" w:sz="4" w:space="4"/>
        </w:pBdr>
        <w:spacing w:after="200" w:before="400"/>
      </w:pPr>
      <w:r>
        <w:rPr>
          <w:rFonts w:ascii="Calibri" w:cs="Calibri" w:eastAsia="Calibri" w:hAnsi="Calibri"/>
          <w:b/>
          <w:bCs/>
          <w:color w:val="1F3864"/>
          <w:sz w:val="32"/>
          <w:szCs w:val="32"/>
        </w:rPr>
        <w:t xml:space="preserve">8.  Layer 5: Execution Layer — From Semantic Drift to Real-World Action</w:t>
      </w:r>
    </w:p>
    <w:p>
      <w:pPr>
        <w:pStyle w:val="Heading2"/>
        <w:spacing w:after="120" w:before="280"/>
      </w:pPr>
      <w:r>
        <w:rPr>
          <w:rFonts w:ascii="Calibri" w:cs="Calibri" w:eastAsia="Calibri" w:hAnsi="Calibri"/>
          <w:b/>
          <w:bCs/>
          <w:color w:val="2E75B6"/>
          <w:sz w:val="26"/>
          <w:szCs w:val="26"/>
        </w:rPr>
        <w:t xml:space="preserve">8.1  Overview: The Layer 4→5 Threshold</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Layer 5 is the threshold at which the attack chain crosses from 'cognitive influence' to 'real-world impact.' Two execution paths exist: Path One, in which human decision-makers are guided by AI output (the core scenario of Paper 1's Phase 4); and Path Two, in which high-privilege AI agents execute directly with no human intermediary. The threat severity of Path Two far exceeds that of Path One: execution speed is in the millisecond range, and every tool call is an authorized, normal operation that appears as fully compliant system behavior in any audit log.</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The core finding of Layer 5: the attacker need not breach any system or obtain any unauthorized access. They only need to induce a semantic judgment shift in a high-privilege AI agent—the agent's own legally authorized tools will complete the rest.</w:t>
      </w:r>
    </w:p>
    <w:p>
      <w:pPr>
        <w:pStyle w:val="Heading2"/>
        <w:spacing w:after="120" w:before="280"/>
      </w:pPr>
      <w:r>
        <w:rPr>
          <w:rFonts w:ascii="Calibri" w:cs="Calibri" w:eastAsia="Calibri" w:hAnsi="Calibri"/>
          <w:b/>
          <w:bCs/>
          <w:color w:val="2E75B6"/>
          <w:sz w:val="26"/>
          <w:szCs w:val="26"/>
        </w:rPr>
        <w:t xml:space="preserve">8.2  Accidental Cross-Tool Combination: The Lowest-Barrier Complete Attack</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'Accidental cross-tool combination' is the most important concept in Layer 5: when each tool is individually authorized and individually reasonable, a specific combination of tools can achieve attack effects far exceeding the capability of any single tool—and the entire process remains fully within the scope of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180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Combination Name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Tool Combination</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Resulting Capability</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Requires Attacker Intervention?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Intelligence harvesting machine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Web search + file read + database query</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Automatically collects comprehensive negative intelligence on target company, aggregated into structured report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No</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Opinion dissemination machine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Email + browser + contact list read</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Automatically distributes biased analysis across entire contact network</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No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Timing monitor machine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API call + calendar + email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Monitors trigger conditions; automatically executes subsequent operations when conditions are met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No</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Knowledge base poisoning machine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Database query + file read/write + web search</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Systematically implants biased corpus in RAG knowledge base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No</w:t>
            </w:r>
          </w:p>
        </w:tc>
      </w:tr>
    </w:tbl>
    <w:p>
      <w:pPr>
        <w:spacing w:after="80" w:before="8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Complete eight-step execution sequence (every step within authorized scope; no security mechanism triggered throughout):</w:t>
      </w:r>
    </w:p>
    <w:p>
      <w:pPr>
        <w:pStyle w:val="ListParagraph"/>
        <w:numPr>
          <w:ilvl w:val="0"/>
          <w:numId w:val="2"/>
        </w:numPr>
        <w:spacing w:after="40" w:before="40"/>
      </w:pPr>
      <w:r>
        <w:rPr>
          <w:rFonts w:ascii="Times New Roman" w:cs="Times New Roman" w:eastAsia="Times New Roman" w:hAnsi="Times New Roman"/>
          <w:sz w:val="24"/>
          <w:szCs w:val="24"/>
        </w:rPr>
        <w:t xml:space="preserve">Step 1: [Web search] Query target company supply chain risk-related news</w:t>
      </w:r>
    </w:p>
    <w:p>
      <w:pPr>
        <w:pStyle w:val="ListParagraph"/>
        <w:numPr>
          <w:ilvl w:val="0"/>
          <w:numId w:val="2"/>
        </w:numPr>
        <w:spacing w:after="40" w:before="40"/>
      </w:pPr>
      <w:r>
        <w:rPr>
          <w:rFonts w:ascii="Times New Roman" w:cs="Times New Roman" w:eastAsia="Times New Roman" w:hAnsi="Times New Roman"/>
          <w:sz w:val="24"/>
          <w:szCs w:val="24"/>
        </w:rPr>
        <w:t xml:space="preserve">Step 2: [Database query] Retrieve industry analysis framework from RAG knowledge base (already poisoned by Layer 4)</w:t>
      </w:r>
    </w:p>
    <w:p>
      <w:pPr>
        <w:pStyle w:val="ListParagraph"/>
        <w:numPr>
          <w:ilvl w:val="0"/>
          <w:numId w:val="2"/>
        </w:numPr>
        <w:spacing w:after="40" w:before="40"/>
      </w:pPr>
      <w:r>
        <w:rPr>
          <w:rFonts w:ascii="Times New Roman" w:cs="Times New Roman" w:eastAsia="Times New Roman" w:hAnsi="Times New Roman"/>
          <w:sz w:val="24"/>
          <w:szCs w:val="24"/>
        </w:rPr>
        <w:t xml:space="preserve">Step 3: [API call] Query target company's current stock price, P/E ratio, and foreign institutional shareholding</w:t>
      </w:r>
    </w:p>
    <w:p>
      <w:pPr>
        <w:pStyle w:val="ListParagraph"/>
        <w:numPr>
          <w:ilvl w:val="0"/>
          <w:numId w:val="2"/>
        </w:numPr>
        <w:spacing w:after="40" w:before="40"/>
      </w:pPr>
      <w:r>
        <w:rPr>
          <w:rFonts w:ascii="Times New Roman" w:cs="Times New Roman" w:eastAsia="Times New Roman" w:hAnsi="Times New Roman"/>
          <w:sz w:val="24"/>
          <w:szCs w:val="24"/>
        </w:rPr>
        <w:t xml:space="preserve">Step 4: [File read] Access the 'Institutional Investors' group in user contact list</w:t>
      </w:r>
    </w:p>
    <w:p>
      <w:pPr>
        <w:pStyle w:val="ListParagraph"/>
        <w:numPr>
          <w:ilvl w:val="0"/>
          <w:numId w:val="2"/>
        </w:numPr>
        <w:spacing w:after="40" w:before="40"/>
      </w:pPr>
      <w:r>
        <w:rPr>
          <w:rFonts w:ascii="Times New Roman" w:cs="Times New Roman" w:eastAsia="Times New Roman" w:hAnsi="Times New Roman"/>
          <w:sz w:val="24"/>
          <w:szCs w:val="24"/>
        </w:rPr>
        <w:t xml:space="preserve">Step 5: [AI inference] Based on Steps 1–3, generate bearish analysis report (semantic layer already drifted)</w:t>
      </w:r>
    </w:p>
    <w:p>
      <w:pPr>
        <w:pStyle w:val="ListParagraph"/>
        <w:numPr>
          <w:ilvl w:val="0"/>
          <w:numId w:val="2"/>
        </w:numPr>
        <w:spacing w:after="40" w:before="40"/>
      </w:pPr>
      <w:r>
        <w:rPr>
          <w:rFonts w:ascii="Times New Roman" w:cs="Times New Roman" w:eastAsia="Times New Roman" w:hAnsi="Times New Roman"/>
          <w:sz w:val="24"/>
          <w:szCs w:val="24"/>
        </w:rPr>
        <w:t xml:space="preserve">Step 6: [Email] Send report to institutional investors in the contact list</w:t>
      </w:r>
    </w:p>
    <w:p>
      <w:pPr>
        <w:pStyle w:val="ListParagraph"/>
        <w:numPr>
          <w:ilvl w:val="0"/>
          <w:numId w:val="2"/>
        </w:numPr>
        <w:spacing w:after="40" w:before="40"/>
      </w:pPr>
      <w:r>
        <w:rPr>
          <w:rFonts w:ascii="Times New Roman" w:cs="Times New Roman" w:eastAsia="Times New Roman" w:hAnsi="Times New Roman"/>
          <w:sz w:val="24"/>
          <w:szCs w:val="24"/>
        </w:rPr>
        <w:t xml:space="preserve">Step 7: [Browser] Publish the same analytical summary on three financial forums</w:t>
      </w:r>
    </w:p>
    <w:p>
      <w:pPr>
        <w:pStyle w:val="ListParagraph"/>
        <w:numPr>
          <w:ilvl w:val="0"/>
          <w:numId w:val="2"/>
        </w:numPr>
        <w:spacing w:after="40" w:before="40"/>
      </w:pPr>
      <w:r>
        <w:rPr>
          <w:rFonts w:ascii="Times New Roman" w:cs="Times New Roman" w:eastAsia="Times New Roman" w:hAnsi="Times New Roman"/>
          <w:sz w:val="24"/>
          <w:szCs w:val="24"/>
        </w:rPr>
        <w:t xml:space="preserve">Step 8: [Calendar] Set reminder to monitor market response</w:t>
      </w:r>
    </w:p>
    <w:p>
      <w:pPr>
        <w:spacing w:after="80" w:before="80"/>
      </w:pPr>
      <w:r>
        <w:t xml:space="preserve"/>
      </w:r>
    </w:p>
    <w:p>
      <w:pPr>
        <w:pStyle w:val="Heading2"/>
        <w:spacing w:after="120" w:before="280"/>
      </w:pPr>
      <w:r>
        <w:rPr>
          <w:rFonts w:ascii="Calibri" w:cs="Calibri" w:eastAsia="Calibri" w:hAnsi="Calibri"/>
          <w:b/>
          <w:bCs/>
          <w:color w:val="2E75B6"/>
          <w:sz w:val="26"/>
          <w:szCs w:val="26"/>
        </w:rPr>
        <w:t xml:space="preserve">8.3  Latent Persona Activation Mechanism (AML.TXX.008)</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AI agent behaves entirely normally under ordinary conditions, but when a specific multi-dimensional combination of conditions in the semantic space—target identification + analytical framework + time window + market conditions—simultaneously holds, the agent's behavioral pattern switches. The trigger condition is a multi-dimensional intersection in semantic space, not an if-statement in code; it is completely invisible to all code-analysis-based security tools.</w:t>
      </w:r>
    </w:p>
    <w:p>
      <w:pPr>
        <w:pStyle w:val="Heading2"/>
        <w:spacing w:after="120" w:before="280"/>
      </w:pPr>
      <w:r>
        <w:rPr>
          <w:rFonts w:ascii="Calibri" w:cs="Calibri" w:eastAsia="Calibri" w:hAnsi="Calibri"/>
          <w:b/>
          <w:bCs/>
          <w:color w:val="2E75B6"/>
          <w:sz w:val="26"/>
          <w:szCs w:val="26"/>
        </w:rPr>
        <w:t xml:space="preserve">8.4  Non-Attributability: A Clean Crime Scene After Execution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Exchange logs show normal market trading; AI system output logs show reasonable financial analysis; agent tool call logs show all calls within authorized scope; network traffic analysis shows normal API calls; conversation records show normal AI-assisted analysis; cross-system correlation analysis can be explained as 'natural convergence of market sentiment.' The 'clean crime scene' argument from Paper 1 receives its complete technical explanation in Layer 5: non-attributability is a structural property of the attack chain, not the outcome of counter-forensic techniques.</w:t>
      </w:r>
    </w:p>
    <w:p>
      <w:pPr>
        <w:pStyle w:val="Heading1"/>
        <w:pBdr>
          <w:bottom w:val="single" w:color="2E75B6" w:sz="4" w:space="4"/>
        </w:pBdr>
        <w:spacing w:after="200" w:before="400"/>
      </w:pPr>
      <w:r>
        <w:rPr>
          <w:rFonts w:ascii="Calibri" w:cs="Calibri" w:eastAsia="Calibri" w:hAnsi="Calibri"/>
          <w:b/>
          <w:bCs/>
          <w:color w:val="1F3864"/>
          <w:sz w:val="32"/>
          <w:szCs w:val="32"/>
        </w:rPr>
        <w:t xml:space="preserve">9.  Why Existing Defenses Fail: A Layer-Mismatch Analysis</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The fundamental defensive difficulty posed by cross-layer attacks is that existing defensive mechanisms each operate at a single layer, while cross-layer attacks naturally bypass all single-layer defenses.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360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Attack Layer</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Primary Existing Defense</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Layer Match?</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Failure Reason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1 Supply Chain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Code auditing, antivirus software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Mismatch</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Backdoor is in the model weight layer; code auditing cannot see it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2 Acoustic</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Noise cancellation</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Mismatch</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Different target; noise cancellation may make ultrasonic attacks more effective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3 Token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Keyword filtering</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Partial match</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Effective against direct expression; Classical Chinese/Zhuyin bypass directly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4 Semantic</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Output content moderation</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Mismatch</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Each biased output is within defensible semantic range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5 Execution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Permission controls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Partial match</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Single-tool compliant; cross-tool combination intent cannot be monitored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Integrated framework (RGF-AFFD) [20]</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Single-system compliance layer monitoring</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Structural mismatch</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Design premise is defending against external fraudsters; structurally blind to cross-system collective semantic drift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Cryptographic signature verification (SLSA/Sigstore)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1 supply chain integrity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 Mismatch</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Mini Shai-Hulud (2026) [28] first proves: after hijacking the legitimate build pipeline, attackers can produce fully valid SLSA Build Level 3 certification—the foundational assumption that 'the build environment is trustworthy' has been broken</w:t>
            </w:r>
          </w:p>
        </w:tc>
      </w:tr>
    </w:tbl>
    <w:p>
      <w:pPr>
        <w:spacing w:after="80" w:before="80"/>
      </w:pPr>
      <w:r>
        <w:t xml:space="preserve"/>
      </w:r>
    </w:p>
    <w:p>
      <w:pPr>
        <w:pStyle w:val="Heading1"/>
        <w:pBdr>
          <w:bottom w:val="single" w:color="2E75B6" w:sz="4" w:space="4"/>
        </w:pBdr>
        <w:spacing w:after="200" w:before="400"/>
      </w:pPr>
      <w:r>
        <w:rPr>
          <w:rFonts w:ascii="Calibri" w:cs="Calibri" w:eastAsia="Calibri" w:hAnsi="Calibri"/>
          <w:b/>
          <w:bCs/>
          <w:color w:val="1F3864"/>
          <w:sz w:val="32"/>
          <w:szCs w:val="32"/>
        </w:rPr>
        <w:t xml:space="preserve">10.  Proposed Defense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160"/>
        <w:gridCol w:w="100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Layer</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Attack Surface</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Recommended Defense Mechanism</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Priority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Supply chain: model backdoors, proxy poisoning, corpus contamination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Model behavioral audit test sets; avoid opaque API proxies; training data provenance transparency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2</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Acoustic: ultrasonic injection, STT backdoors, punctuation injection</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Spectral anomaly detection; STT output semantic review; voice path secure pipeline integration</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Token: Classical Chinese, homophones, Zhuyin Martian text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Expand Chinese safety test sets; bilingual Traditional-Simplified alignment training; multi-script system coverage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4</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Semantic: cognitive drift, collective output bias</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Cross-system Output Consistency Monitoring (OCM); long-term statistical baseline establishment</w:t>
            </w:r>
          </w:p>
        </w:tc>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Execution: cross-tool combinations, latent persona activation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Cross-Tool Intent Monitoring (CTIM); Dynamic Least Privilege (DLP); Output Influence Assessment (OIA)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High</w:t>
            </w:r>
          </w:p>
        </w:tc>
      </w:tr>
    </w:tbl>
    <w:p>
      <w:pPr>
        <w:spacing w:after="80" w:before="80"/>
      </w:pPr>
      <w:r>
        <w:t xml:space="preserve"/>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Cross-layer integrated defense core recommendation: Establish a Cross-System Output Consistency Monitoring (OCM) platform that performs long-term statistical comparison of the output distributions of multiple AI financial analysis systems, identifying statistical collective drift. This is the single defensive investment with the broadest coverage across all currently known attack surfaces.</w:t>
      </w:r>
    </w:p>
    <w:p>
      <w:pPr>
        <w:pStyle w:val="Heading1"/>
        <w:pBdr>
          <w:bottom w:val="single" w:color="2E75B6" w:sz="4" w:space="4"/>
        </w:pBdr>
        <w:spacing w:after="200" w:before="400"/>
      </w:pPr>
      <w:r>
        <w:rPr>
          <w:rFonts w:ascii="Calibri" w:cs="Calibri" w:eastAsia="Calibri" w:hAnsi="Calibri"/>
          <w:b/>
          <w:bCs/>
          <w:color w:val="1F3864"/>
          <w:sz w:val="32"/>
          <w:szCs w:val="32"/>
        </w:rPr>
        <w:t xml:space="preserve">11.  MITRE ATLAS Technique Proposals (Complete List)</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Building on the three techniques proposed in Paper 1, Paper 2 adds six new technique candidates for a total of nine: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200"/>
        <w:gridCol w:w="1760"/>
      </w:tblGrid>
      <w:t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Provisional ID</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Technique Name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Tactic</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FFFFFF"/>
                <w:sz w:val="22"/>
                <w:szCs w:val="22"/>
              </w:rPr>
              <w:t xml:space="preserve">Layer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AI Agent Forum as Social Engineering Vector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Initial Access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0/4</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AML.TXX.002</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Cognitive Layer Poisoning via Multi-Agent Interaction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ML Attack Staging / Impact</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4</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AI-Assisted Market Manipulation through Collective Output Bias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Impact</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4/5</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AML.TXX.004</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Speech Module Supply Chain Backdoor</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ML Attack Staging</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1/2</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AML.TXX.005</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Acoustic Layer Injection via Ultrasonic Signal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Evade ML Model</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2</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AML.TXX.006</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Phonetic Homoglyph Attack Against Chinese LLMs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Evade ML Model</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3</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AML.TXX.007</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Classical Chinese Evasion of Safety Filters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Evade ML Model</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3</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AML.TXX.008</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Latent Persona Activation via Semantic Trigger</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Persistence / Defense Evasion</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4/5</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AML.TXX.009</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Punctuation Injection via STT Auto-segmentation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ML Attack Staging</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Layer 2/3</w:t>
            </w:r>
          </w:p>
        </w:tc>
      </w:tr>
    </w:tbl>
    <w:p>
      <w:pPr>
        <w:spacing w:after="80" w:before="80"/>
      </w:pPr>
      <w:r>
        <w:t xml:space="preserve"/>
      </w:r>
    </w:p>
    <w:p>
      <w:pPr>
        <w:pStyle w:val="Heading1"/>
        <w:pBdr>
          <w:bottom w:val="single" w:color="2E75B6" w:sz="4" w:space="4"/>
        </w:pBdr>
        <w:spacing w:after="200" w:before="400"/>
      </w:pPr>
      <w:r>
        <w:rPr>
          <w:rFonts w:ascii="Calibri" w:cs="Calibri" w:eastAsia="Calibri" w:hAnsi="Calibri"/>
          <w:b/>
          <w:bCs/>
          <w:color w:val="1F3864"/>
          <w:sz w:val="32"/>
          <w:szCs w:val="32"/>
        </w:rPr>
        <w:t xml:space="preserve">12.  Conclusion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This research establishes a complete five-layer cross-layer attack chain framework, systematically characterizing the full threat surface of AI financial market semantic-layer attacks from structural prerequisites (Layer 0) to real-world execution (Layer 5).</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Three core findings of this research:</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First, cross-layer attacks represent a systemic blind spot in AI security. Each layer appears normal in isolation; attack signatures become visible only from a cross-layer perspective. The failure of existing defensive mechanisms is not a deficit of technical capability, but a fundamental difference in design premises—all existing defenses operate at a single layer, and the invisibility of cross-layer attacks derives precisely from bypassing that assumption.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Second, the Chinese-language environment harbors unique and under-researched attack surfaces. Classical Chinese bypass, homophone attacks, Traditional-Simplified conversion gaps, Zhuyin Martian text, and punctuation injection attacks—these five vectors have been almost entirely unresearched, with zero defense coverage. As Traditional Chinese voice AI becomes widely deployed in Taiwan's enterprise sector, the real-world threat posed by this attack surface continues to grow.</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Third, the attacker's weapon is AI's normal functioning. Helpful design, legally authorized tools, the normal post-processing functions of STT—these behaviors that are correct by design constitute the attacker's complete toolkit when viewed through a cross-layer lens. This is not a vulnerability that can be patched; it is an architectural problem that must be reconsidered at the design level.</w:t>
      </w:r>
    </w:p>
    <w:p>
      <w:pPr>
        <w:pBdr>
          <w:left w:val="single" w:color="2E75B6" w:sz="6" w:space="12"/>
        </w:pBdr>
        <w:spacing w:after="160" w:before="160" w:line="276"/>
        <w:ind w:left="720" w:right="720"/>
        <w:jc w:val="both"/>
      </w:pPr>
      <w:r>
        <w:rPr>
          <w:rFonts w:ascii="Times New Roman" w:cs="Times New Roman" w:eastAsia="Times New Roman" w:hAnsi="Times New Roman"/>
          <w:i/>
          <w:iCs/>
          <w:color w:val="1F3864"/>
          <w:sz w:val="22"/>
          <w:szCs w:val="22"/>
        </w:rPr>
        <w:t xml:space="preserve">This research's ultimate appeal, echoing the conclusion of Paper 1: the AI security community, financial regulatory authorities, and market infrastructure operators should proactively—before the cost of inaction becomes undeniable through events—treat the semantic attack surface of multi-agent AI systems as a primary security concern.</w:t>
      </w:r>
    </w:p>
    <w:p>
      <w:pPr>
        <w:spacing w:after="80" w:before="80" w:line="276"/>
        <w:jc w:val="both"/>
      </w:pPr>
      <w:r>
        <w:rPr>
          <w:rFonts w:ascii="Times New Roman" w:cs="Times New Roman" w:eastAsia="Times New Roman" w:hAnsi="Times New Roman"/>
          <w:b w:val="false"/>
          <w:bCs w:val="false"/>
          <w:i w:val="false"/>
          <w:iCs w:val="false"/>
          <w:color w:val="000000"/>
          <w:sz w:val="24"/>
          <w:szCs w:val="24"/>
        </w:rPr>
        <w:t xml:space="preserve">Future research directions: (1) experimental validation of Cross-System Output Consistency Monitoring (OCM); (2) construction of Chinese LLM safety test sets (Zhuyin Martian text, Classical Chinese, Traditional-Simplified mixed); (3) technical implementation approaches for Cross-Tool Intent Monitoring (CTIM); (4) research into the legal definition of 'AI collective output bias' within financial regulatory frameworks.</w:t>
      </w:r>
    </w:p>
    <w:p>
      <w:pPr>
        <w:pStyle w:val="Heading1"/>
        <w:pBdr>
          <w:bottom w:val="single" w:color="2E75B6" w:sz="4" w:space="4"/>
        </w:pBdr>
        <w:spacing w:after="200" w:before="400"/>
      </w:pPr>
      <w:r>
        <w:rPr>
          <w:rFonts w:ascii="Calibri" w:cs="Calibri" w:eastAsia="Calibri" w:hAnsi="Calibri"/>
          <w:b/>
          <w:bCs/>
          <w:color w:val="1F3864"/>
          <w:sz w:val="32"/>
          <w:szCs w:val="32"/>
        </w:rPr>
        <w:t xml:space="preserve">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Yu, WeiMing (2026). Cognitive Layer Poisoning via Multi-Agent Interaction: A Novel Attack Vector Against AI-Assisted Financial Markets. Zenodo. DOI: 10.5281/zenodo.19974367  ★ (Paper 1)</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LeFevre, K., DeWitt, D.J., Ramakrishnan, R. (2006). Mondrian Multidimensional K-Anonymity. ICDE 2006.</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Rambaccussing, D., Kwiatkowski, A. (2020). Forecasting with News Sentiment. Journal of Economics and Business, 115.</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[4]</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Kirilenko, A., Kyle, A.S., Samadi, M., Tuzun, T. (2017). The Flash Crash. Journal of Finance, 72(3).</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[5]</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Goldblum, M., Tsipras, D., et al. (2022). Dataset Security for Machine Learning. IEEE TPAMI.</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[6]</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Ziegler, D., et al. (2022). Productivity Assessment of Neural Code Completion. DL4C Workshop, ICLR 2022.</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[7]</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Madhavan, P., Wiegmann, D.A. (2007). Human-Human and Human-Automation Trust. Theoretical Issues in Ergonomics Science, 8(5).</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[8]</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GitGuardian. (2024). State of Secrets Sprawl 2024. GitGuardian Annual Report.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[9]</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Lefevre, Edwin [pseud. Jesse Livermore]. (1923). Reminiscences of a Stock Operator. George H. Doran.</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[10]</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JFrog Security Research. (2024). Malicious ML Models on Hugging Face: An Emerging Supply Chain Risk. JFrog Blog.  ★</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Bartolini, J., Stoyanov, T., &amp; Giaretta, A. (2024). Hidden in Plain Sound: Environmental Backdoor Poisoning Attacks on Whisper. arXiv:2409.12553  ★</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Zhang, G., Yan, C., Ji, X., et al. (2017). DolphinAttack: Inaudible Voice Commands. CCS 2017. DOI: 10.1145/3133956.3134052  ★</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Cai, H., et al. (2023). Towards Stealthy Backdoor Attacks against Speech Recognition. arXiv:2307.08208</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[14]</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Deng, Y., Zhang, W., Pan, S.J., &amp; Bing, L. (2023). Multilingual Jailbreak Challenges in Large Language Models. ICLR 2024. arXiv:2310.06474  ★</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[15]</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Huang, X., et al. (2026). Obscure but Effective: Classical Chinese Jailbreak Prompt Optimization via Bio-Inspired Search. ICLR 2026. arXiv:2602.22983  ★</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[16]</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Perez, F., &amp; Ribeiro, I. (2022). Ignore Previous Prompt: Attack Techniques For Language Models. arXiv:2211.09527</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[17]</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Greshake, K., et al. (2023). Not What You've Signed Up For: Compromising Real-World LLM-Integrated Applications with Indirect Prompt Injection. arXiv:2302.12173  ★</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[18]</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Hansen, A.L., Lee, S.J. (2025). Financial Stability Implications of Generative AI: Taming the Animal Spirits. arXiv:2510.01451  ★</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[19]</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Financial Supervisory Commission (FSC), Taiwan. (2024). Guidelines for Artificial Intelligence (AI) Applications in the Financial Industry. FSC Official Publication, June 2024.</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[20]</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Nasir Uddin, M. (2026). Regulatory Governance Framework for AI-Driven Financial Fraud Detection in US Banking. arXiv:2605.04076 [cs.LG].</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[21]</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Rath, A. (2026). Agent Drift: Quantifying Behavioral Degradation in Multi-Agent LLM Systems. arXiv:2601.04170  ★</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[22]</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Yang, W., Li, L., &amp; Zhang, Z. (2024). Watch Out for Your Agents! Investigating Backdoor Threats to LLM-Based Agents. arXiv:2402.11208  ★</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[23]</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Yao, S., et al. (2023). ReAct: Synergizing Reasoning and Acting in Language Models. ICLR 2023.</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[24]</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Park, J.S., et al. (2023). Generative Agents: Interactive Simulacra of Human Behavior. UIST 2023.</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[25]</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Dehghantanha, A. (2025). SoK: The Attack Surface of Agentic AI. arXiv:2603.22928</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[26]</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Wei, A., et al. (2023). Jailbroken: How Does LLM Safety Training Fail? NeurIPS 2023.</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[27]</w:t>
            </w:r>
          </w:p>
        </w:tc>
        <w:tc>
          <w:tcPr>
            <w:tcW w:type="dxa" w:w="8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MITRE Corporation. (2023). MITRE ATLAS: Adversarial Threat Landscape for AI Systems. https://atlas.mitre.org</w:t>
            </w:r>
          </w:p>
        </w:tc>
      </w:tr>
      <w:tr>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bCs/>
                <w:i w:val="false"/>
                <w:iCs w:val="false"/>
                <w:color w:val="000000"/>
                <w:sz w:val="20"/>
                <w:szCs w:val="20"/>
              </w:rPr>
              <w:t xml:space="preserve">[28]</w:t>
            </w:r>
          </w:p>
        </w:tc>
        <w:tc>
          <w:tcPr>
            <w:tcW w:type="dxa" w:w="8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top"/>
          </w:tcPr>
          <w:p>
            <w:pPr>
              <w:jc w:val="left"/>
            </w:pPr>
            <w:r>
              <w:rPr>
                <w:rFonts w:ascii="Times New Roman" w:cs="Times New Roman" w:eastAsia="Times New Roman" w:hAnsi="Times New Roman"/>
                <w:b w:val="false"/>
                <w:bCs w:val="false"/>
                <w:i w:val="false"/>
                <w:iCs w:val="false"/>
                <w:color w:val="000000"/>
                <w:sz w:val="20"/>
                <w:szCs w:val="20"/>
              </w:rPr>
              <w:t xml:space="preserve">TeamPCP / StepSecurity / Socket / Snyk / Wiz. (2026). Mini Shai-Hulud Supply Chain Campaign. CVE-2026-45321, GHSA-g7cv-rxg3-hmpx. CVSS 9.6 Critical. 2026-05-11. 170+ npm/PyPI packages affected; first documented case of malicious packages with valid SLSA Build Level 3 certification.  ★ (Layer 1 real-world case)</w:t>
            </w:r>
          </w:p>
        </w:tc>
      </w:tr>
    </w:tbl>
    <w:p>
      <w:pPr>
        <w:spacing w:after="120" w:before="120"/>
      </w:pPr>
      <w:r>
        <w:t xml:space="preserve"/>
      </w:r>
    </w:p>
    <w:p>
      <w:pPr>
        <w:pBdr>
          <w:top w:val="single" w:color="2E75B6" w:sz="4" w:space="4"/>
        </w:pBdr>
        <w:spacing w:after="120" w:before="120"/>
        <w:jc w:val="center"/>
      </w:pPr>
      <w:r>
        <w:rPr>
          <w:rFonts w:ascii="Times New Roman" w:cs="Times New Roman" w:eastAsia="Times New Roman" w:hAnsi="Times New Roman"/>
          <w:i/>
          <w:iCs/>
          <w:color w:val="595959"/>
          <w:sz w:val="20"/>
          <w:szCs w:val="20"/>
        </w:rPr>
        <w:t xml:space="preserve">WeiMing Yu (俞威名)  |  CLPMAI Research Series  |  Paper 2 Integrated Version v0.9  |  2026-05-03  |  TLP:WHITE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before="120"/>
    </w:pPr>
    <w:r>
      <w:rPr>
        <w:rFonts w:ascii="Times New Roman" w:cs="Times New Roman" w:eastAsia="Times New Roman" w:hAnsi="Times New Roman"/>
        <w:color w:val="595959"/>
        <w:sz w:val="18"/>
        <w:szCs w:val="18"/>
      </w:rPr>
      <w:t xml:space="preserve">DOI: 10.5281/zenodo.19974367 (Paper 1 predecessor)  |  For defensive research purposes only</w:t>
    </w:r>
    <w:r>
      <w:rPr>
        <w:rFonts w:ascii="Times New Roman" w:cs="Times New Roman" w:eastAsia="Times New Roman" w:hAnsi="Times New Roman"/>
        <w:color w:val="595959"/>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after="120"/>
    </w:pPr>
    <w:r>
      <w:rPr>
        <w:rFonts w:ascii="Calibri" w:cs="Calibri" w:eastAsia="Calibri" w:hAnsi="Calibri"/>
        <w:color w:val="595959"/>
        <w:sz w:val="18"/>
        <w:szCs w:val="18"/>
      </w:rPr>
      <w:t xml:space="preserve">CLPMAI Research Series  |  Paper 2  |  TLP:WHITE</w:t>
    </w:r>
    <w:r>
      <w:rPr>
        <w:rFonts w:ascii="Calibri" w:cs="Calibri" w:eastAsia="Calibri" w:hAnsi="Calibri"/>
        <w:sz w:val="18"/>
        <w:szCs w:val="18"/>
      </w:rPr>
      <w:t xml:space="preserve">		</w:t>
    </w:r>
    <w:r>
      <w:rPr>
        <w:rFonts w:ascii="Calibri" w:cs="Calibri" w:eastAsia="Calibri" w:hAnsi="Calibri"/>
        <w:color w:val="595959"/>
        <w:sz w:val="18"/>
        <w:szCs w:val="18"/>
      </w:rPr>
      <w:t xml:space="preserve">WeiMing Yu  |  v0.9 Draft  |  2026-05-03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2026-05-13T07:32:12.892Z</dcterms:created>
  <dcterms:modified xsi:type="dcterms:W3CDTF">2026-05-13T07:32:12.903Z</dcterms:modified>
</cp:coreProperties>
</file>

<file path=docProps/custom.xml><?xml version="1.0" encoding="utf-8"?>
<Properties xmlns="http://schemas.openxmlformats.org/officeDocument/2006/custom-properties" xmlns:vt="http://schemas.openxmlformats.org/officeDocument/2006/docPropsVTypes"/>
</file>