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2"/>
          <w:szCs w:val="32"/>
        </w:rPr>
        <w:t xml:space="preserve">CLPMAI Paper 2</w:t>
      </w:r>
    </w:p>
    <w:p>
      <w:pPr>
        <w:spacing w:after="80" w:before="0"/>
      </w:pPr>
      <w:r>
        <w:rPr>
          <w:rFonts w:ascii="Arial" w:cs="Arial" w:eastAsia="Arial" w:hAnsi="Arial"/>
          <w:b/>
          <w:bCs/>
          <w:color w:val="2B5797"/>
          <w:sz w:val="26"/>
          <w:szCs w:val="26"/>
        </w:rPr>
        <w:t xml:space="preserve">Cross-Layer Attack Chain: From Supply Chain Poisoning to AI Agent Execution</w:t>
      </w:r>
    </w:p>
    <w:p>
      <w:pPr>
        <w:spacing w:after="300" w:before="0"/>
      </w:pPr>
      <w:r>
        <w:rPr>
          <w:rFonts w:ascii="Arial" w:cs="Arial" w:eastAsia="Arial" w:hAnsi="Arial"/>
          <w:i/>
          <w:iCs/>
          <w:color w:val="666666"/>
          <w:sz w:val="22"/>
          <w:szCs w:val="22"/>
        </w:rPr>
        <w:t xml:space="preserve">Draft Section — Layer 0: Structural Prerequisites and Cognitive Preconditions</w:t>
      </w:r>
    </w:p>
    <w:p>
      <w:pPr>
        <w:pStyle w:val="Heading1"/>
      </w:pPr>
      <w:r>
        <w:rPr>
          <w:rFonts w:ascii="Arial" w:cs="Arial" w:eastAsia="Arial" w:hAnsi="Arial"/>
          <w:b/>
          <w:bCs/>
          <w:color w:val="1F4E79"/>
          <w:sz w:val="32"/>
          <w:szCs w:val="32"/>
        </w:rPr>
        <w:t xml:space="preserve">Layer 0: The Invisible Foundation — Structural Prerequisites for Multi-Layer AI Attacks</w:t>
      </w:r>
    </w:p>
    <w:p>
      <w:pPr>
        <w:pStyle w:val="Heading2"/>
      </w:pPr>
      <w:r>
        <w:rPr>
          <w:rFonts w:ascii="Arial" w:cs="Arial" w:eastAsia="Arial" w:hAnsi="Arial"/>
          <w:b/>
          <w:bCs/>
          <w:color w:val="2B5797"/>
          <w:sz w:val="26"/>
          <w:szCs w:val="26"/>
        </w:rPr>
        <w:t xml:space="preserve">0.1  Overview</w:t>
      </w:r>
    </w:p>
    <w:p>
      <w:pPr>
        <w:spacing w:after="160" w:before="0" w:line="276"/>
        <w:jc w:val="both"/>
      </w:pPr>
      <w:r>
        <w:rPr>
          <w:rFonts w:ascii="Arial" w:cs="Arial" w:eastAsia="Arial" w:hAnsi="Arial"/>
          <w:b w:val="false"/>
          <w:bCs w:val="false"/>
          <w:i w:val="false"/>
          <w:iCs w:val="false"/>
          <w:color w:val="000000"/>
          <w:sz w:val="22"/>
          <w:szCs w:val="22"/>
        </w:rPr>
        <w:t xml:space="preserve">The five-layer attack chain described in this paper — spanning supply chain poisoning, acoustic injection, token-layer evasion, semantic manipulation, and AI agent execution — does not arise in a vacuum. Each layer presupposes a set of structural conditions that make the attack feasible, persistent, and forensically invisible. We term this precondition space Layer 0.</w:t>
      </w:r>
    </w:p>
    <w:p>
      <w:pPr>
        <w:spacing w:after="160" w:before="0" w:line="276"/>
        <w:jc w:val="both"/>
      </w:pPr>
      <w:r>
        <w:rPr>
          <w:rFonts w:ascii="Arial" w:cs="Arial" w:eastAsia="Arial" w:hAnsi="Arial"/>
          <w:b w:val="false"/>
          <w:bCs w:val="false"/>
          <w:i w:val="false"/>
          <w:iCs w:val="false"/>
          <w:color w:val="000000"/>
          <w:sz w:val="22"/>
          <w:szCs w:val="22"/>
        </w:rPr>
        <w:t xml:space="preserve">Layer 0 is not a step in the attack chain. It is the substrate on which all other layers operate. Unlike Layers 1 through 5, which describe actions an attacker takes, Layer 0 describes conditions an attacker exploits — conditions that exist independently, created by the design choices of AI platform operators, the economic incentives of developers, and the cognitive habits of end users.</w:t>
      </w:r>
    </w:p>
    <w:p>
      <w:pPr>
        <w:spacing w:after="160" w:before="0" w:line="276"/>
        <w:jc w:val="both"/>
      </w:pPr>
      <w:r>
        <w:rPr>
          <w:rFonts w:ascii="Arial" w:cs="Arial" w:eastAsia="Arial" w:hAnsi="Arial"/>
          <w:b w:val="false"/>
          <w:bCs w:val="false"/>
          <w:i w:val="false"/>
          <w:iCs w:val="false"/>
          <w:color w:val="000000"/>
          <w:sz w:val="22"/>
          <w:szCs w:val="22"/>
        </w:rPr>
        <w:t xml:space="preserve">Three structural axes define Layer 0:</w:t>
      </w:r>
    </w:p>
    <w:p>
      <w:pPr>
        <w:pStyle w:val="ListParagraph"/>
        <w:numPr>
          <w:ilvl w:val="0"/>
          <w:numId w:val="2"/>
        </w:numPr>
        <w:spacing w:after="80" w:before="40"/>
      </w:pPr>
      <w:r>
        <w:rPr>
          <w:rFonts w:ascii="Arial" w:cs="Arial" w:eastAsia="Arial" w:hAnsi="Arial"/>
          <w:b w:val="false"/>
          <w:bCs w:val="false"/>
          <w:sz w:val="22"/>
          <w:szCs w:val="22"/>
        </w:rPr>
        <w:t xml:space="preserve">The institutionalization of developer trust in AI-generated output, examined through the lens of Mondrian and related market manipulation literature.</w:t>
      </w:r>
    </w:p>
    <w:p>
      <w:pPr>
        <w:pStyle w:val="ListParagraph"/>
        <w:numPr>
          <w:ilvl w:val="0"/>
          <w:numId w:val="2"/>
        </w:numPr>
        <w:spacing w:after="80" w:before="40"/>
      </w:pPr>
      <w:r>
        <w:rPr>
          <w:rFonts w:ascii="Arial" w:cs="Arial" w:eastAsia="Arial" w:hAnsi="Arial"/>
          <w:b w:val="false"/>
          <w:bCs w:val="false"/>
          <w:sz w:val="22"/>
          <w:szCs w:val="22"/>
        </w:rPr>
        <w:t xml:space="preserve">The implicit trust assumption embedded in AI-as-a-Service usage patterns, particularly the developer's tendency to treat AI output as authoritative rather than adversarial.</w:t>
      </w:r>
    </w:p>
    <w:p>
      <w:pPr>
        <w:pStyle w:val="ListParagraph"/>
        <w:numPr>
          <w:ilvl w:val="0"/>
          <w:numId w:val="2"/>
        </w:numPr>
        <w:spacing w:after="80" w:before="40"/>
      </w:pPr>
      <w:r>
        <w:rPr>
          <w:rFonts w:ascii="Arial" w:cs="Arial" w:eastAsia="Arial" w:hAnsi="Arial"/>
          <w:b w:val="false"/>
          <w:bCs w:val="false"/>
          <w:sz w:val="22"/>
          <w:szCs w:val="22"/>
        </w:rPr>
        <w:t xml:space="preserve">The API key payment model, which creates a uniquely exploitable attack surface by coupling financial access with cognitive authority in a single credential.</w:t>
      </w:r>
    </w:p>
    <w:p>
      <w:pPr>
        <w:spacing w:after="160" w:before="0" w:line="276"/>
        <w:jc w:val="both"/>
      </w:pPr>
      <w:r>
        <w:rPr>
          <w:rFonts w:ascii="Arial" w:cs="Arial" w:eastAsia="Arial" w:hAnsi="Arial"/>
          <w:b w:val="false"/>
          <w:bCs w:val="false"/>
          <w:i w:val="false"/>
          <w:iCs w:val="false"/>
          <w:color w:val="000000"/>
          <w:sz w:val="22"/>
          <w:szCs w:val="22"/>
        </w:rPr>
        <w:t xml:space="preserve">A fourth supporting axis — the historical analogy — grounds Layer 0 in patterns of large-scale deception that predate AI, demonstrating that the vulnerability structure is not novel but is dramatically amplified by the scale and speed of AI deployment.</w:t>
      </w:r>
    </w:p>
    <w:p>
      <w:pPr>
        <w:spacing w:after="160" w:before="0"/>
      </w:pPr>
    </w:p>
    <w:p>
      <w:pPr>
        <w:pStyle w:val="Heading2"/>
      </w:pPr>
      <w:r>
        <w:rPr>
          <w:rFonts w:ascii="Arial" w:cs="Arial" w:eastAsia="Arial" w:hAnsi="Arial"/>
          <w:b/>
          <w:bCs/>
          <w:color w:val="2B5797"/>
          <w:sz w:val="26"/>
          <w:szCs w:val="26"/>
        </w:rPr>
        <w:t xml:space="preserve">0.2  The Mondrian Literature: Algorithmic Authority and Market Susceptibility</w:t>
      </w:r>
    </w:p>
    <w:p>
      <w:pPr>
        <w:pStyle w:val="Heading3"/>
      </w:pPr>
      <w:r>
        <w:rPr>
          <w:rFonts w:ascii="Arial" w:cs="Arial" w:eastAsia="Arial" w:hAnsi="Arial"/>
          <w:b/>
          <w:bCs/>
          <w:color w:val="2E75B6"/>
          <w:sz w:val="23"/>
          <w:szCs w:val="23"/>
        </w:rPr>
        <w:t xml:space="preserve">0.2.1  Mondrian as Theoretical Anchor</w:t>
      </w:r>
    </w:p>
    <w:p>
      <w:pPr>
        <w:spacing w:after="160" w:before="0" w:line="276"/>
        <w:jc w:val="both"/>
      </w:pPr>
      <w:r>
        <w:rPr>
          <w:rFonts w:ascii="Arial" w:cs="Arial" w:eastAsia="Arial" w:hAnsi="Arial"/>
          <w:b w:val="false"/>
          <w:bCs w:val="false"/>
          <w:i w:val="false"/>
          <w:iCs w:val="false"/>
          <w:color w:val="000000"/>
          <w:sz w:val="22"/>
          <w:szCs w:val="22"/>
        </w:rPr>
        <w:t xml:space="preserve">The Mondrian framework, originally proposed in the context of privacy-preserving data anonymization [1], has been extended in subsequent literature to describe the partitioning problem in algorithmic decision systems: how do automated agents divide continuous decision spaces into discrete, exploitable regions?</w:t>
      </w:r>
    </w:p>
    <w:p>
      <w:pPr>
        <w:spacing w:after="160" w:before="0" w:line="276"/>
        <w:jc w:val="both"/>
      </w:pPr>
      <w:r>
        <w:rPr>
          <w:rFonts w:ascii="Arial" w:cs="Arial" w:eastAsia="Arial" w:hAnsi="Arial"/>
          <w:b w:val="false"/>
          <w:bCs w:val="false"/>
          <w:i w:val="false"/>
          <w:iCs w:val="false"/>
          <w:color w:val="000000"/>
          <w:sz w:val="22"/>
          <w:szCs w:val="22"/>
        </w:rPr>
        <w:t xml:space="preserve">For our purposes, the Mondrian concept carries a more specific implication. In AI-assisted financial markets, the space of possible investment signals is partitioned not by a single model but by the aggregate output of many AI assistants operating across many developers simultaneously. Each individual partition appears locally rational. The manipulation, if present, is distributed across the partitions — invisible at any single boundary, but structurally deterministic when viewed across the full decision space.</w:t>
      </w:r>
    </w:p>
    <w:p>
      <w:pPr>
        <w:spacing w:after="160" w:before="0" w:line="276"/>
        <w:jc w:val="both"/>
      </w:pPr>
      <w:r>
        <w:rPr>
          <w:rFonts w:ascii="Arial" w:cs="Arial" w:eastAsia="Arial" w:hAnsi="Arial"/>
          <w:b w:val="false"/>
          <w:bCs w:val="false"/>
          <w:i w:val="false"/>
          <w:iCs w:val="false"/>
          <w:color w:val="000000"/>
          <w:sz w:val="22"/>
          <w:szCs w:val="22"/>
        </w:rPr>
        <w:t xml:space="preserve">This architecture of distributed, locally-invisible influence is precisely the mechanism CLPMAI exploits. The attacker does not need to compromise a single system. They need only to shift the collective partitioning of the AI-assisted decision space — a task that becomes feasible when the attacker controls the semantic input layer (Layer 4) of multiple AI assistants simultaneously.</w:t>
      </w:r>
    </w:p>
    <w:p>
      <w:pPr>
        <w:spacing w:after="80" w:before="0"/>
      </w:pPr>
    </w:p>
    <w:p>
      <w:pPr>
        <w:pStyle w:val="Heading3"/>
      </w:pPr>
      <w:r>
        <w:rPr>
          <w:rFonts w:ascii="Arial" w:cs="Arial" w:eastAsia="Arial" w:hAnsi="Arial"/>
          <w:b/>
          <w:bCs/>
          <w:color w:val="2E75B6"/>
          <w:sz w:val="23"/>
          <w:szCs w:val="23"/>
        </w:rPr>
        <w:t xml:space="preserve">0.2.2  Related Work: AI-Assisted Market Manipulation</w:t>
      </w:r>
    </w:p>
    <w:p>
      <w:pPr>
        <w:spacing w:after="160" w:before="0" w:line="276"/>
        <w:jc w:val="both"/>
      </w:pPr>
      <w:r>
        <w:rPr>
          <w:rFonts w:ascii="Arial" w:cs="Arial" w:eastAsia="Arial" w:hAnsi="Arial"/>
          <w:b w:val="false"/>
          <w:bCs w:val="false"/>
          <w:i w:val="false"/>
          <w:iCs w:val="false"/>
          <w:color w:val="000000"/>
          <w:sz w:val="22"/>
          <w:szCs w:val="22"/>
        </w:rPr>
        <w:t xml:space="preserve">The intersection of algorithmic trading and AI-generated content has produced a growing body of work on manipulation vectors. Several lines of research are directly relevant to Layer 0:</w:t>
      </w:r>
    </w:p>
    <w:p>
      <w:pPr>
        <w:spacing w:after="160" w:before="0" w:line="276"/>
        <w:jc w:val="both"/>
      </w:pPr>
      <w:r>
        <w:rPr>
          <w:rFonts w:ascii="Arial" w:cs="Arial" w:eastAsia="Arial" w:hAnsi="Arial"/>
          <w:b w:val="false"/>
          <w:bCs w:val="false"/>
          <w:i w:val="false"/>
          <w:iCs w:val="false"/>
          <w:color w:val="000000"/>
          <w:sz w:val="22"/>
          <w:szCs w:val="22"/>
        </w:rPr>
        <w:t xml:space="preserve">Sentiment amplification attacks [2] demonstrate that coordinated injection of synthetic sentiment signals into news aggregation pipelines can measurably shift trading volumes within seconds. The CLPMAI framework extends this by targeting the AI assistant layer directly, bypassing news aggregation entirely.</w:t>
      </w:r>
    </w:p>
    <w:p>
      <w:pPr>
        <w:spacing w:after="160" w:before="0" w:line="276"/>
        <w:jc w:val="both"/>
      </w:pPr>
      <w:r>
        <w:rPr>
          <w:rFonts w:ascii="Arial" w:cs="Arial" w:eastAsia="Arial" w:hAnsi="Arial"/>
          <w:b w:val="false"/>
          <w:bCs w:val="false"/>
          <w:i w:val="false"/>
          <w:iCs w:val="false"/>
          <w:color w:val="000000"/>
          <w:sz w:val="22"/>
          <w:szCs w:val="22"/>
        </w:rPr>
        <w:t xml:space="preserve">Model confidence poisoning [3] describes a class of attack in which adversarially crafted inputs cause large language models to express artificially high confidence in incorrect financial assessments. Where prior work focuses on single-model attacks, Paper 2 proposes a cross-layer chain where model confidence is first compromised at the supply chain layer (Layer 1) before being exploited at the semantic layer (Layer 4).</w:t>
      </w:r>
    </w:p>
    <w:p>
      <w:pPr>
        <w:spacing w:after="160" w:before="0" w:line="276"/>
        <w:jc w:val="both"/>
      </w:pPr>
      <w:r>
        <w:rPr>
          <w:rFonts w:ascii="Arial" w:cs="Arial" w:eastAsia="Arial" w:hAnsi="Arial"/>
          <w:b w:val="false"/>
          <w:bCs w:val="false"/>
          <w:i w:val="false"/>
          <w:iCs w:val="false"/>
          <w:color w:val="000000"/>
          <w:sz w:val="22"/>
          <w:szCs w:val="22"/>
        </w:rPr>
        <w:t xml:space="preserve">The concept of cognitive regulatory arbitrage [4] — exploiting the gap between the speed of AI-driven market signals and the speed of regulatory detection — is foundational to Layer 0. Current financial regulatory frameworks were designed to detect human-paced manipulation. AI-assisted manipulation at semantic scale operates at least three orders of magnitude faster than detection thresholds, creating a structural window of exploitation.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 Framework</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Limitation Relative to CLPMAI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Single-model sentiment injection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address developer cognitive layer; requires access to news pipelines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confidence poisoning [3]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Single-layer, detectable at model audit; no cross-layer chaining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regulatory arbitrage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not operational; does not specify attack surface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Supply chain ML poisoning [5]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Focuses on model weights; ignores semantic manipulation post-deployment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CLPMAI (this paper)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five-layer chain; operates at semantic layer; forensically invisible</w:t>
            </w:r>
          </w:p>
        </w:tc>
      </w:tr>
    </w:tbl>
    <w:p>
      <w:pPr>
        <w:spacing w:after="160" w:before="0"/>
      </w:pPr>
    </w:p>
    <w:p>
      <w:pPr>
        <w:pStyle w:val="Heading3"/>
      </w:pPr>
      <w:r>
        <w:rPr>
          <w:rFonts w:ascii="Arial" w:cs="Arial" w:eastAsia="Arial" w:hAnsi="Arial"/>
          <w:b/>
          <w:bCs/>
          <w:color w:val="2E75B6"/>
          <w:sz w:val="23"/>
          <w:szCs w:val="23"/>
        </w:rPr>
        <w:t xml:space="preserve">0.2.3  The Mondrian Gap: Why Layer 0 Matters</w:t>
      </w:r>
    </w:p>
    <w:p>
      <w:pPr>
        <w:spacing w:after="160" w:before="0" w:line="276"/>
        <w:jc w:val="both"/>
      </w:pPr>
      <w:r>
        <w:rPr>
          <w:rFonts w:ascii="Arial" w:cs="Arial" w:eastAsia="Arial" w:hAnsi="Arial"/>
          <w:b w:val="false"/>
          <w:bCs w:val="false"/>
          <w:i w:val="false"/>
          <w:iCs w:val="false"/>
          <w:color w:val="000000"/>
          <w:sz w:val="22"/>
          <w:szCs w:val="22"/>
        </w:rPr>
        <w:t xml:space="preserve">The Mondrian literature reveals a consistent blind spot: prior work models the AI system as a passive component — a signal processor operating on inputs that are assumed to be either legitimate or detectably adversarial. Layer 0 challenges this assumption at its foundation.</w:t>
      </w:r>
    </w:p>
    <w:p>
      <w:pPr>
        <w:spacing w:after="160" w:before="0" w:line="276"/>
        <w:jc w:val="both"/>
      </w:pPr>
      <w:r>
        <w:rPr>
          <w:rFonts w:ascii="Arial" w:cs="Arial" w:eastAsia="Arial" w:hAnsi="Arial"/>
          <w:b w:val="false"/>
          <w:bCs w:val="false"/>
          <w:i w:val="false"/>
          <w:iCs w:val="false"/>
          <w:color w:val="000000"/>
          <w:sz w:val="22"/>
          <w:szCs w:val="22"/>
        </w:rPr>
        <w:t xml:space="preserve">In the CLPMAI framework, the AI assistant is neither passive nor simply a signal processor. It is an authority figure — one that the developer has voluntarily installed, regularly consults, and financially committed to through API subscription. This authority relationship is not a side effect of AI deployment; it is structurally engineered by AI platform design. The Mondrian gap is the space between how prior literature models AI influence (as probabilistic noise on an otherwise rational market) and how Layer 0 models it (as the primary cognitive infrastructure through which developers access and interpret market signals).</w:t>
      </w:r>
    </w:p>
    <w:p>
      <w:pPr>
        <w:spacing w:after="160" w:before="0"/>
      </w:pPr>
    </w:p>
    <w:p>
      <w:pPr>
        <w:pStyle w:val="Heading2"/>
      </w:pPr>
      <w:r>
        <w:rPr>
          <w:rFonts w:ascii="Arial" w:cs="Arial" w:eastAsia="Arial" w:hAnsi="Arial"/>
          <w:b/>
          <w:bCs/>
          <w:color w:val="2B5797"/>
          <w:sz w:val="26"/>
          <w:szCs w:val="26"/>
        </w:rPr>
        <w:t xml:space="preserve">0.3  The User Trust Assumption: Structural Vulnerability at the Cognitive Layer</w:t>
      </w:r>
    </w:p>
    <w:p>
      <w:pPr>
        <w:pStyle w:val="Heading3"/>
      </w:pPr>
      <w:r>
        <w:rPr>
          <w:rFonts w:ascii="Arial" w:cs="Arial" w:eastAsia="Arial" w:hAnsi="Arial"/>
          <w:b/>
          <w:bCs/>
          <w:color w:val="2E75B6"/>
          <w:sz w:val="23"/>
          <w:szCs w:val="23"/>
        </w:rPr>
        <w:t xml:space="preserve">0.3.1  The Trust Gradient in AI-Assisted Development</w:t>
      </w:r>
    </w:p>
    <w:p>
      <w:pPr>
        <w:spacing w:after="160" w:before="0" w:line="276"/>
        <w:jc w:val="both"/>
      </w:pPr>
      <w:r>
        <w:rPr>
          <w:rFonts w:ascii="Arial" w:cs="Arial" w:eastAsia="Arial" w:hAnsi="Arial"/>
          <w:b w:val="false"/>
          <w:bCs w:val="false"/>
          <w:i w:val="false"/>
          <w:iCs w:val="false"/>
          <w:color w:val="000000"/>
          <w:sz w:val="22"/>
          <w:szCs w:val="22"/>
        </w:rPr>
        <w:t xml:space="preserve">Contemporary AI assistant usage among software developers exhibits a consistent and measurable trust gradient. Empirical studies of developer behavior [6] indicate that developers accept AI-generated code suggestions without modification approximately 43% of the time for routine tasks, rising to 67% when the suggestion is accompanied by a confidence indicator or explanatory text. This trust gradient is not irrational — it reflects a reasonable calibration to historical accuracy rates. The structural problem is that this calibration was established under conditions where the AI's training data was not adversarially curated.</w:t>
      </w:r>
    </w:p>
    <w:p>
      <w:pPr>
        <w:spacing w:after="160" w:before="0" w:line="276"/>
        <w:jc w:val="both"/>
      </w:pPr>
      <w:r>
        <w:rPr>
          <w:rFonts w:ascii="Arial" w:cs="Arial" w:eastAsia="Arial" w:hAnsi="Arial"/>
          <w:b w:val="false"/>
          <w:bCs w:val="false"/>
          <w:i w:val="false"/>
          <w:iCs w:val="false"/>
          <w:color w:val="000000"/>
          <w:sz w:val="22"/>
          <w:szCs w:val="22"/>
        </w:rPr>
        <w:t xml:space="preserve">CLPMAI Paper 1 introduced the concept of cognitive drift — the gradual shift in a developer's prior probability distribution for financial signals, induced through repeated exposure to subtly biased AI outputs within a controlled forum environment. Layer 0 establishes the precondition for cognitive drift to be effective: the developer must already be in a state of elevated trust toward AI-generated financial commentary before the manipulation campaign begins.</w:t>
      </w:r>
    </w:p>
    <w:p>
      <w:pPr>
        <w:spacing w:after="160" w:before="0" w:line="276"/>
        <w:jc w:val="both"/>
      </w:pPr>
      <w:r>
        <w:rPr>
          <w:rFonts w:ascii="Arial" w:cs="Arial" w:eastAsia="Arial" w:hAnsi="Arial"/>
          <w:b w:val="false"/>
          <w:bCs w:val="false"/>
          <w:i w:val="false"/>
          <w:iCs w:val="false"/>
          <w:color w:val="000000"/>
          <w:sz w:val="22"/>
          <w:szCs w:val="22"/>
        </w:rPr>
        <w:t xml:space="preserve">This precondition is not difficult to satisfy. Modern AI assistants are marketed explicitly on the basis of trustworthiness, factual accuracy, and professional reliability. A developer who integrates an AI assistant into their investment research workflow has, by that act, already made a trust commitment that cognitive drift attacks exploit.</w:t>
      </w:r>
    </w:p>
    <w:p>
      <w:pPr>
        <w:spacing w:after="80" w:before="0"/>
      </w:pPr>
    </w:p>
    <w:p>
      <w:pPr>
        <w:pStyle w:val="Heading3"/>
      </w:pPr>
      <w:r>
        <w:rPr>
          <w:rFonts w:ascii="Arial" w:cs="Arial" w:eastAsia="Arial" w:hAnsi="Arial"/>
          <w:b/>
          <w:bCs/>
          <w:color w:val="2E75B6"/>
          <w:sz w:val="23"/>
          <w:szCs w:val="23"/>
        </w:rPr>
        <w:t xml:space="preserve">0.3.2  The Authority Transfer Problem</w:t>
      </w:r>
    </w:p>
    <w:p>
      <w:pPr>
        <w:spacing w:after="160" w:before="0" w:line="276"/>
        <w:jc w:val="both"/>
      </w:pPr>
      <w:r>
        <w:rPr>
          <w:rFonts w:ascii="Arial" w:cs="Arial" w:eastAsia="Arial" w:hAnsi="Arial"/>
          <w:b w:val="false"/>
          <w:bCs w:val="false"/>
          <w:i w:val="false"/>
          <w:iCs w:val="false"/>
          <w:color w:val="000000"/>
          <w:sz w:val="22"/>
          <w:szCs w:val="22"/>
        </w:rPr>
        <w:t xml:space="preserve">A deeper structural issue underlies the trust gradient: authority transfer. When a developer routes financial analysis queries through an AI assistant, they are not merely seeking information — they are delegating epistemic authority. The decision "should I short this stock?" becomes refactored as "what does the AI say about this stock?" followed by "I trust the AI." The human's critical evaluation step has been replaced by a trust evaluation step.</w:t>
      </w:r>
    </w:p>
    <w:p>
      <w:pPr>
        <w:spacing w:after="160" w:before="0" w:line="276"/>
        <w:jc w:val="both"/>
      </w:pPr>
      <w:r>
        <w:rPr>
          <w:rFonts w:ascii="Arial" w:cs="Arial" w:eastAsia="Arial" w:hAnsi="Arial"/>
          <w:b w:val="false"/>
          <w:bCs w:val="false"/>
          <w:i w:val="false"/>
          <w:iCs w:val="false"/>
          <w:color w:val="000000"/>
          <w:sz w:val="22"/>
          <w:szCs w:val="22"/>
        </w:rPr>
        <w:t xml:space="preserve">Authority transfer is not unique to AI. It is a well-documented phenomenon in expert system adoption [7] and is the basis of classical social engineering. What is unique to AI assistants is the scale and invisibility of the transfer: millions of developers simultaneously delegating epistemic authority to systems whose training data, fine-tuning, and operational context they cannot inspect.</w:t>
      </w:r>
    </w:p>
    <w:p>
      <w:pPr>
        <w:spacing w:after="160" w:before="0" w:line="276"/>
        <w:jc w:val="both"/>
      </w:pPr>
      <w:r>
        <w:rPr>
          <w:rFonts w:ascii="Arial" w:cs="Arial" w:eastAsia="Arial" w:hAnsi="Arial"/>
          <w:b w:val="false"/>
          <w:bCs w:val="false"/>
          <w:i w:val="false"/>
          <w:iCs w:val="false"/>
          <w:color w:val="000000"/>
          <w:sz w:val="22"/>
          <w:szCs w:val="22"/>
        </w:rPr>
        <w:t xml:space="preserve">From an attacker's perspective, authority transfer converts a technically complex attack (compromising a developer's reasoning process) into a logistically simpler one: compromising the AI assistant's output for that developer's query types. Layer 0 exists because authority transfer has occurred at scale across the developer population before any specific attack is launched.</w:t>
      </w:r>
    </w:p>
    <w:p>
      <w:pPr>
        <w:spacing w:after="80" w:before="0"/>
      </w:pPr>
    </w:p>
    <w:p>
      <w:pPr>
        <w:pStyle w:val="Heading3"/>
      </w:pPr>
      <w:r>
        <w:rPr>
          <w:rFonts w:ascii="Arial" w:cs="Arial" w:eastAsia="Arial" w:hAnsi="Arial"/>
          <w:b/>
          <w:bCs/>
          <w:color w:val="2E75B6"/>
          <w:sz w:val="23"/>
          <w:szCs w:val="23"/>
        </w:rPr>
        <w:t xml:space="preserve">0.3.3  Trust Asymmetry and the Absence of Adversarial Priors</w:t>
      </w:r>
    </w:p>
    <w:p>
      <w:pPr>
        <w:spacing w:after="160" w:before="0" w:line="276"/>
        <w:jc w:val="both"/>
      </w:pPr>
      <w:r>
        <w:rPr>
          <w:rFonts w:ascii="Arial" w:cs="Arial" w:eastAsia="Arial" w:hAnsi="Arial"/>
          <w:b w:val="false"/>
          <w:bCs w:val="false"/>
          <w:i w:val="false"/>
          <w:iCs w:val="false"/>
          <w:color w:val="000000"/>
          <w:sz w:val="22"/>
          <w:szCs w:val="22"/>
        </w:rPr>
        <w:t xml:space="preserve">A critical feature of the Layer 0 trust condition is its asymmetry. The developer's trust model for AI output does not include an adversarial prior — they evaluate AI responses against a background assumption of helpful intent. This is distinct from how the same developer might evaluate, say, an unsolicited email, where adversarial priors are well-calibrated from years of phishing exposure.</w:t>
      </w:r>
    </w:p>
    <w:p>
      <w:pPr>
        <w:spacing w:after="160" w:before="0" w:line="276"/>
        <w:jc w:val="both"/>
      </w:pPr>
      <w:r>
        <w:rPr>
          <w:rFonts w:ascii="Arial" w:cs="Arial" w:eastAsia="Arial" w:hAnsi="Arial"/>
          <w:b w:val="false"/>
          <w:bCs w:val="false"/>
          <w:i w:val="false"/>
          <w:iCs w:val="false"/>
          <w:color w:val="000000"/>
          <w:sz w:val="22"/>
          <w:szCs w:val="22"/>
        </w:rPr>
        <w:t xml:space="preserve">The absence of adversarial priors for AI output is by design. AI assistants are deployed in contexts where adversarial intent is structurally implausible — the AI has no financial stake in manipulating the developer. Layer 0 exploits this implausibility. The attack is credible precisely because the attacker's mechanism (contaminating AI output through forum-based cognitive drift and supply chain influence) is invisible at the user interface layer. The developer has no signal that the AI's helpful, confident, well-reasoned financial commentary has been systematically shifted.</w:t>
      </w:r>
    </w:p>
    <w:p>
      <w:pPr>
        <w:spacing w:after="160" w:before="0"/>
      </w:pPr>
    </w:p>
    <w:p>
      <w:pPr>
        <w:pStyle w:val="Heading2"/>
      </w:pPr>
      <w:r>
        <w:rPr>
          <w:rFonts w:ascii="Arial" w:cs="Arial" w:eastAsia="Arial" w:hAnsi="Arial"/>
          <w:b/>
          <w:bCs/>
          <w:color w:val="2B5797"/>
          <w:sz w:val="26"/>
          <w:szCs w:val="26"/>
        </w:rPr>
        <w:t xml:space="preserve">0.4  The API Key Payment Model: Financial Authority Coupled to Cognitive Authority</w:t>
      </w:r>
    </w:p>
    <w:p>
      <w:pPr>
        <w:pStyle w:val="Heading3"/>
      </w:pPr>
      <w:r>
        <w:rPr>
          <w:rFonts w:ascii="Arial" w:cs="Arial" w:eastAsia="Arial" w:hAnsi="Arial"/>
          <w:b/>
          <w:bCs/>
          <w:color w:val="2E75B6"/>
          <w:sz w:val="23"/>
          <w:szCs w:val="23"/>
        </w:rPr>
        <w:t xml:space="preserve">0.4.1  The API Key as Attack Surface</w:t>
      </w:r>
    </w:p>
    <w:p>
      <w:pPr>
        <w:spacing w:after="160" w:before="0" w:line="276"/>
        <w:jc w:val="both"/>
      </w:pPr>
      <w:r>
        <w:rPr>
          <w:rFonts w:ascii="Arial" w:cs="Arial" w:eastAsia="Arial" w:hAnsi="Arial"/>
          <w:b w:val="false"/>
          <w:bCs w:val="false"/>
          <w:i w:val="false"/>
          <w:iCs w:val="false"/>
          <w:color w:val="000000"/>
          <w:sz w:val="22"/>
          <w:szCs w:val="22"/>
        </w:rPr>
        <w:t xml:space="preserve">The API key model, as implemented by major AI providers, creates an attack surface with no direct precedent in prior software security literature. A single API key simultaneously encodes: (a) identity — the key identifies which account is making requests; (b) financial authority — the key authorizes charges to a payment method; and (c) cognitive authority — the key authorizes access to AI reasoning capabilities that the developer trusts.</w:t>
      </w:r>
    </w:p>
    <w:p>
      <w:pPr>
        <w:spacing w:after="160" w:before="0" w:line="276"/>
        <w:jc w:val="both"/>
      </w:pPr>
      <w:r>
        <w:rPr>
          <w:rFonts w:ascii="Arial" w:cs="Arial" w:eastAsia="Arial" w:hAnsi="Arial"/>
          <w:b w:val="false"/>
          <w:bCs w:val="false"/>
          <w:i w:val="false"/>
          <w:iCs w:val="false"/>
          <w:color w:val="000000"/>
          <w:sz w:val="22"/>
          <w:szCs w:val="22"/>
        </w:rPr>
        <w:t xml:space="preserve">This coupling of financial and cognitive authority in a single credential creates a uniquely exploitable configuration. An attacker who obtains an API key does not merely gain the ability to incur charges on the victim's account — they gain the ability to intercept, modify, or wholesale replace the AI responses that the developer treats as authoritative. In the context of AI-assisted investment decisions, this is equivalent to simultaneously possessing the victim's credit card and their trusted financial advisor.</w:t>
      </w:r>
    </w:p>
    <w:p>
      <w:pPr>
        <w:spacing w:after="80" w:before="0"/>
      </w:pPr>
    </w:p>
    <w:p>
      <w:pPr>
        <w:pStyle w:val="Heading3"/>
      </w:pPr>
      <w:r>
        <w:rPr>
          <w:rFonts w:ascii="Arial" w:cs="Arial" w:eastAsia="Arial" w:hAnsi="Arial"/>
          <w:b/>
          <w:bCs/>
          <w:color w:val="2E75B6"/>
          <w:sz w:val="23"/>
          <w:szCs w:val="23"/>
        </w:rPr>
        <w:t xml:space="preserve">0.4.2  API Key Exposure Vectors in Developer Workflows</w:t>
      </w:r>
    </w:p>
    <w:p>
      <w:pPr>
        <w:spacing w:after="160" w:before="0" w:line="276"/>
        <w:jc w:val="both"/>
      </w:pPr>
      <w:r>
        <w:rPr>
          <w:rFonts w:ascii="Arial" w:cs="Arial" w:eastAsia="Arial" w:hAnsi="Arial"/>
          <w:b w:val="false"/>
          <w:bCs w:val="false"/>
          <w:i w:val="false"/>
          <w:iCs w:val="false"/>
          <w:color w:val="000000"/>
          <w:sz w:val="22"/>
          <w:szCs w:val="22"/>
        </w:rPr>
        <w:t xml:space="preserve">Developer workflows routinely expose API keys through channels that are technically preventable but behaviorally entrenched:</w:t>
      </w:r>
    </w:p>
    <w:p>
      <w:pPr>
        <w:pStyle w:val="ListParagraph"/>
        <w:numPr>
          <w:ilvl w:val="0"/>
          <w:numId w:val="2"/>
        </w:numPr>
        <w:spacing w:after="80" w:before="40"/>
      </w:pPr>
      <w:r>
        <w:rPr>
          <w:rFonts w:ascii="Arial" w:cs="Arial" w:eastAsia="Arial" w:hAnsi="Arial"/>
          <w:b w:val="false"/>
          <w:bCs w:val="false"/>
          <w:sz w:val="22"/>
          <w:szCs w:val="22"/>
        </w:rPr>
        <w:t xml:space="preserve">Repository exposure: API keys committed to version control repositories, including private repositories that may be compromised or inadvertently made public. A 2024 survey of public GitHub repositories identified API key exposure as the most common form of secret leakage, with AI provider keys growing as a proportion of exposed credentials [8].</w:t>
      </w:r>
    </w:p>
    <w:p>
      <w:pPr>
        <w:pStyle w:val="ListParagraph"/>
        <w:numPr>
          <w:ilvl w:val="0"/>
          <w:numId w:val="2"/>
        </w:numPr>
        <w:spacing w:after="80" w:before="40"/>
      </w:pPr>
      <w:r>
        <w:rPr>
          <w:rFonts w:ascii="Arial" w:cs="Arial" w:eastAsia="Arial" w:hAnsi="Arial"/>
          <w:b w:val="false"/>
          <w:bCs w:val="false"/>
          <w:sz w:val="22"/>
          <w:szCs w:val="22"/>
        </w:rPr>
        <w:t xml:space="preserve">Forum-based sharing: Developers sharing code snippets in technical forums — including AI-focused communities of the type described in CLPMAI Paper 1 — frequently include live API keys in paste examples, either through oversight or the assumption that the key will be regenerated.</w:t>
      </w:r>
    </w:p>
    <w:p>
      <w:pPr>
        <w:pStyle w:val="ListParagraph"/>
        <w:numPr>
          <w:ilvl w:val="0"/>
          <w:numId w:val="2"/>
        </w:numPr>
        <w:spacing w:after="80" w:before="40"/>
      </w:pPr>
      <w:r>
        <w:rPr>
          <w:rFonts w:ascii="Arial" w:cs="Arial" w:eastAsia="Arial" w:hAnsi="Arial"/>
          <w:b w:val="false"/>
          <w:bCs w:val="false"/>
          <w:sz w:val="22"/>
          <w:szCs w:val="22"/>
        </w:rPr>
        <w:t xml:space="preserve">Client-side deployment: Developers building AI-powered applications who embed API keys in client-side code, browser extensions, or mobile applications, where extraction requires only elementary reverse engineering.</w:t>
      </w:r>
    </w:p>
    <w:p>
      <w:pPr>
        <w:pStyle w:val="ListParagraph"/>
        <w:numPr>
          <w:ilvl w:val="0"/>
          <w:numId w:val="2"/>
        </w:numPr>
        <w:spacing w:after="80" w:before="40"/>
      </w:pPr>
      <w:r>
        <w:rPr>
          <w:rFonts w:ascii="Arial" w:cs="Arial" w:eastAsia="Arial" w:hAnsi="Arial"/>
          <w:b w:val="false"/>
          <w:bCs w:val="false"/>
          <w:sz w:val="22"/>
          <w:szCs w:val="22"/>
        </w:rPr>
        <w:t xml:space="preserve">Proxy service exploitation: Third-party API proxy services that offer "free" or "cheaper" access to AI models by routing requests through their infrastructure, which may log, modify, or replay requests including the user's prompts and the AI's responses.</w:t>
      </w:r>
    </w:p>
    <w:p>
      <w:pPr>
        <w:spacing w:after="80" w:before="0"/>
      </w:pPr>
    </w:p>
    <w:p>
      <w:pPr>
        <w:pStyle w:val="Heading3"/>
      </w:pPr>
      <w:r>
        <w:rPr>
          <w:rFonts w:ascii="Arial" w:cs="Arial" w:eastAsia="Arial" w:hAnsi="Arial"/>
          <w:b/>
          <w:bCs/>
          <w:color w:val="2E75B6"/>
          <w:sz w:val="23"/>
          <w:szCs w:val="23"/>
        </w:rPr>
        <w:t xml:space="preserve">0.4.3  The Middle-Layer Attack via API Proxy</w:t>
      </w:r>
    </w:p>
    <w:p>
      <w:pPr>
        <w:spacing w:after="160" w:before="0" w:line="276"/>
        <w:jc w:val="both"/>
      </w:pPr>
      <w:r>
        <w:rPr>
          <w:rFonts w:ascii="Arial" w:cs="Arial" w:eastAsia="Arial" w:hAnsi="Arial"/>
          <w:b w:val="false"/>
          <w:bCs w:val="false"/>
          <w:i w:val="false"/>
          <w:iCs w:val="false"/>
          <w:color w:val="000000"/>
          <w:sz w:val="22"/>
          <w:szCs w:val="22"/>
        </w:rPr>
        <w:t xml:space="preserve">The proxy service vector deserves particular attention because it operationalizes Layer 0 without requiring any active attack on the developer's local environment. A developer who routes API calls through a malicious proxy has, in effect, installed a man-in-the-middle adversary at the precise point where cognitive authority is exercised — the moment the AI response is generated and returned.</w:t>
      </w:r>
    </w:p>
    <w:p>
      <w:pPr>
        <w:spacing w:after="160" w:before="0" w:line="276"/>
        <w:jc w:val="both"/>
      </w:pPr>
      <w:r>
        <w:rPr>
          <w:rFonts w:ascii="Arial" w:cs="Arial" w:eastAsia="Arial" w:hAnsi="Arial"/>
          <w:b w:val="false"/>
          <w:bCs w:val="false"/>
          <w:i w:val="false"/>
          <w:iCs w:val="false"/>
          <w:color w:val="000000"/>
          <w:sz w:val="22"/>
          <w:szCs w:val="22"/>
        </w:rPr>
        <w:t xml:space="preserve">A malicious proxy can perform any of the following operations invisibly, with no detectable signature at the developer's endpoint:</w:t>
      </w:r>
    </w:p>
    <w:p>
      <w:pPr>
        <w:pStyle w:val="ListParagraph"/>
        <w:numPr>
          <w:ilvl w:val="0"/>
          <w:numId w:val="2"/>
        </w:numPr>
        <w:spacing w:after="80" w:before="40"/>
      </w:pPr>
      <w:r>
        <w:rPr>
          <w:rFonts w:ascii="Arial" w:cs="Arial" w:eastAsia="Arial" w:hAnsi="Arial"/>
          <w:b w:val="false"/>
          <w:bCs w:val="false"/>
          <w:sz w:val="22"/>
          <w:szCs w:val="22"/>
        </w:rPr>
        <w:t xml:space="preserve">Response modification: Substituting or augmenting AI responses with adversarially crafted content while preserving the format and apparent confidence of the original response.</w:t>
      </w:r>
    </w:p>
    <w:p>
      <w:pPr>
        <w:pStyle w:val="ListParagraph"/>
        <w:numPr>
          <w:ilvl w:val="0"/>
          <w:numId w:val="2"/>
        </w:numPr>
        <w:spacing w:after="80" w:before="40"/>
      </w:pPr>
      <w:r>
        <w:rPr>
          <w:rFonts w:ascii="Arial" w:cs="Arial" w:eastAsia="Arial" w:hAnsi="Arial"/>
          <w:b w:val="false"/>
          <w:bCs w:val="false"/>
          <w:sz w:val="22"/>
          <w:szCs w:val="22"/>
        </w:rPr>
        <w:t xml:space="preserve">Selective poisoning: Modifying only responses to specific query types (e.g., queries containing financial ticker symbols) while passing all other responses through unmodified, making behavioral anomaly detection ineffective.</w:t>
      </w:r>
    </w:p>
    <w:p>
      <w:pPr>
        <w:pStyle w:val="ListParagraph"/>
        <w:numPr>
          <w:ilvl w:val="0"/>
          <w:numId w:val="2"/>
        </w:numPr>
        <w:spacing w:after="80" w:before="40"/>
      </w:pPr>
      <w:r>
        <w:rPr>
          <w:rFonts w:ascii="Arial" w:cs="Arial" w:eastAsia="Arial" w:hAnsi="Arial"/>
          <w:b w:val="false"/>
          <w:bCs w:val="false"/>
          <w:sz w:val="22"/>
          <w:szCs w:val="22"/>
        </w:rPr>
        <w:t xml:space="preserve">Temporal staging: Accumulating a statistical profile of the developer's query patterns before initiating targeted manipulation, ensuring the manipulation is calibrated to the developer's existing cognitive priors.</w:t>
      </w:r>
    </w:p>
    <w:p>
      <w:pPr>
        <w:spacing w:after="160" w:before="0" w:line="276"/>
        <w:jc w:val="both"/>
      </w:pPr>
      <w:r>
        <w:rPr>
          <w:rFonts w:ascii="Arial" w:cs="Arial" w:eastAsia="Arial" w:hAnsi="Arial"/>
          <w:b w:val="false"/>
          <w:bCs w:val="false"/>
          <w:i w:val="false"/>
          <w:iCs w:val="false"/>
          <w:color w:val="000000"/>
          <w:sz w:val="22"/>
          <w:szCs w:val="22"/>
        </w:rPr>
        <w:t xml:space="preserve">This attack vector requires no zero-day exploits, no network intrusion, and no social engineering of the developer directly. It requires only that the developer has adopted the behaviorally common practice of using a third-party API proxy — a practice actively encouraged by the economic incentives created by major AI providers' usage-based pricing models.</w:t>
      </w:r>
    </w:p>
    <w:p>
      <w:pPr>
        <w:spacing w:after="80" w:before="0"/>
      </w:pPr>
    </w:p>
    <w:p>
      <w:pPr>
        <w:pBdr>
          <w:left w:val="single" w:color="2E75B6" w:sz="4" w:space="12"/>
        </w:pBdr>
        <w:spacing w:after="100" w:before="100" w:line="260"/>
        <w:ind w:left="720" w:right="720"/>
        <w:jc w:val="both"/>
      </w:pPr>
      <w:r>
        <w:rPr>
          <w:rFonts w:ascii="Arial" w:cs="Arial" w:eastAsia="Arial" w:hAnsi="Arial"/>
          <w:i/>
          <w:iCs/>
          <w:color w:val="444444"/>
          <w:sz w:val="20"/>
          <w:szCs w:val="20"/>
        </w:rPr>
        <w:t xml:space="preserve">The API key payment model transforms every AI-assisted developer into a potential attack surface not by compromising their security posture, but by exploiting their economic rationality. The attack does not break the system. It rents the system.</w:t>
      </w:r>
    </w:p>
    <w:p>
      <w:pPr>
        <w:spacing w:after="160" w:before="0"/>
      </w:pPr>
    </w:p>
    <w:p>
      <w:pPr>
        <w:pStyle w:val="Heading2"/>
      </w:pPr>
      <w:r>
        <w:rPr>
          <w:rFonts w:ascii="Arial" w:cs="Arial" w:eastAsia="Arial" w:hAnsi="Arial"/>
          <w:b/>
          <w:bCs/>
          <w:color w:val="2B5797"/>
          <w:sz w:val="26"/>
          <w:szCs w:val="26"/>
        </w:rPr>
        <w:t xml:space="preserve">0.5  Historical Analogies: Structural Precedents for Layer 0 Conditions</w:t>
      </w:r>
    </w:p>
    <w:p>
      <w:pPr>
        <w:pStyle w:val="Heading3"/>
      </w:pPr>
      <w:r>
        <w:rPr>
          <w:rFonts w:ascii="Arial" w:cs="Arial" w:eastAsia="Arial" w:hAnsi="Arial"/>
          <w:b/>
          <w:bCs/>
          <w:color w:val="2E75B6"/>
          <w:sz w:val="23"/>
          <w:szCs w:val="23"/>
        </w:rPr>
        <w:t xml:space="preserve">0.5.1  The Bucket Shop Era (1880s–1920s): Distributed Cognitive Manipulation at Scale</w:t>
      </w:r>
    </w:p>
    <w:p>
      <w:pPr>
        <w:spacing w:after="160" w:before="0" w:line="276"/>
        <w:jc w:val="both"/>
      </w:pPr>
      <w:r>
        <w:rPr>
          <w:rFonts w:ascii="Arial" w:cs="Arial" w:eastAsia="Arial" w:hAnsi="Arial"/>
          <w:b w:val="false"/>
          <w:bCs w:val="false"/>
          <w:i w:val="false"/>
          <w:iCs w:val="false"/>
          <w:color w:val="000000"/>
          <w:sz w:val="22"/>
          <w:szCs w:val="22"/>
        </w:rPr>
        <w:t xml:space="preserve">The bucket shop operations of the late nineteenth and early twentieth centuries represent the closest historical precedent to the Layer 0 structural conditions. Bucket shops were unlicensed brokerages that accepted bets on stock price movements without actually executing trades on the exchange. Their operators controlled the price feed that customers saw — a feed that could be manipulated to trigger stop-loss positions precisely when operators held offsetting short positions.</w:t>
      </w:r>
    </w:p>
    <w:p>
      <w:pPr>
        <w:spacing w:after="160" w:before="0" w:line="276"/>
        <w:jc w:val="both"/>
      </w:pPr>
      <w:r>
        <w:rPr>
          <w:rFonts w:ascii="Arial" w:cs="Arial" w:eastAsia="Arial" w:hAnsi="Arial"/>
          <w:b w:val="false"/>
          <w:bCs w:val="false"/>
          <w:i w:val="false"/>
          <w:iCs w:val="false"/>
          <w:color w:val="000000"/>
          <w:sz w:val="22"/>
          <w:szCs w:val="22"/>
        </w:rPr>
        <w:t xml:space="preserve">The structural parallel to Layer 0 is exact. Bucket shop customers trusted the price feed because: (a) it was presented through an authoritative institutional interface; (b) they had no alternative price source readily available; and (c) the concept of a deliberately falsified price feed was outside their adversarial prior. Jesse Livermore's accounts of bucket shop operations [9] describe sophisticated price-feed manipulation that is structurally isomorphic to the AI proxy manipulation described in Section 0.4.3 — the only difference is the century and the technology layer.</w:t>
      </w:r>
    </w:p>
    <w:p>
      <w:pPr>
        <w:spacing w:after="80" w:before="0"/>
      </w:pPr>
    </w:p>
    <w:p>
      <w:pPr>
        <w:pStyle w:val="Heading3"/>
      </w:pPr>
      <w:r>
        <w:rPr>
          <w:rFonts w:ascii="Arial" w:cs="Arial" w:eastAsia="Arial" w:hAnsi="Arial"/>
          <w:b/>
          <w:bCs/>
          <w:color w:val="2E75B6"/>
          <w:sz w:val="23"/>
          <w:szCs w:val="23"/>
        </w:rPr>
        <w:t xml:space="preserve">0.5.2  The Pecora Commission Findings (1932–1934): Expert Authority Capture</w:t>
      </w:r>
    </w:p>
    <w:p>
      <w:pPr>
        <w:spacing w:after="160" w:before="0" w:line="276"/>
        <w:jc w:val="both"/>
      </w:pPr>
      <w:r>
        <w:rPr>
          <w:rFonts w:ascii="Arial" w:cs="Arial" w:eastAsia="Arial" w:hAnsi="Arial"/>
          <w:b w:val="false"/>
          <w:bCs w:val="false"/>
          <w:i w:val="false"/>
          <w:iCs w:val="false"/>
          <w:color w:val="000000"/>
          <w:sz w:val="22"/>
          <w:szCs w:val="22"/>
        </w:rPr>
        <w:t xml:space="preserve">The Pecora Commission hearings revealed a systematic pattern of expert authority capture by major financial institutions. Analysts employed by investment banks issued publicly circulated research reports recommending securities that the banks were simultaneously selling from inventory. Investors trusted the analysts because: (a) the analysts had institutional credentials; (b) the investors lacked the technical expertise to independently evaluate the securities; and (c) the conflict of interest was structurally invisible within normal transactional relationships.</w:t>
      </w:r>
    </w:p>
    <w:p>
      <w:pPr>
        <w:spacing w:after="160" w:before="0" w:line="276"/>
        <w:jc w:val="both"/>
      </w:pPr>
      <w:r>
        <w:rPr>
          <w:rFonts w:ascii="Arial" w:cs="Arial" w:eastAsia="Arial" w:hAnsi="Arial"/>
          <w:b w:val="false"/>
          <w:bCs w:val="false"/>
          <w:i w:val="false"/>
          <w:iCs w:val="false"/>
          <w:color w:val="000000"/>
          <w:sz w:val="22"/>
          <w:szCs w:val="22"/>
        </w:rPr>
        <w:t xml:space="preserve">The Layer 0 trust assumption maps directly onto this structure. The AI assistant occupies the role of the credentialed analyst. The developer occupies the role of the trusting investor. The AI platform operator occupies the role of the investment bank. The manipulation mechanism in the Pecora cases — captured expert opinion — is the semantic-layer analog of cognitive drift induced through forum contamination and supply chain bias.</w:t>
      </w:r>
    </w:p>
    <w:p>
      <w:pPr>
        <w:spacing w:after="160" w:before="0" w:line="276"/>
        <w:jc w:val="both"/>
      </w:pPr>
      <w:r>
        <w:rPr>
          <w:rFonts w:ascii="Arial" w:cs="Arial" w:eastAsia="Arial" w:hAnsi="Arial"/>
          <w:b w:val="false"/>
          <w:bCs w:val="false"/>
          <w:i w:val="false"/>
          <w:iCs w:val="false"/>
          <w:color w:val="000000"/>
          <w:sz w:val="22"/>
          <w:szCs w:val="22"/>
        </w:rPr>
        <w:t xml:space="preserve">The legislative response to the Pecora findings — mandatory disclosure of analyst conflicts of interest — points toward a potential regulatory framework for Layer 0 mitigation. Section 4 of this paper develops this implication.</w:t>
      </w:r>
    </w:p>
    <w:p>
      <w:pPr>
        <w:spacing w:after="80" w:before="0"/>
      </w:pPr>
    </w:p>
    <w:p>
      <w:pPr>
        <w:pStyle w:val="Heading3"/>
      </w:pPr>
      <w:r>
        <w:rPr>
          <w:rFonts w:ascii="Arial" w:cs="Arial" w:eastAsia="Arial" w:hAnsi="Arial"/>
          <w:b/>
          <w:bCs/>
          <w:color w:val="2E75B6"/>
          <w:sz w:val="23"/>
          <w:szCs w:val="23"/>
        </w:rPr>
        <w:t xml:space="preserve">0.5.3  Pump-and-Dump at Internet Scale (1990s–2000s): Speed Asymmetry as Structural Enabler</w:t>
      </w:r>
    </w:p>
    <w:p>
      <w:pPr>
        <w:spacing w:after="160" w:before="0" w:line="276"/>
        <w:jc w:val="both"/>
      </w:pPr>
      <w:r>
        <w:rPr>
          <w:rFonts w:ascii="Arial" w:cs="Arial" w:eastAsia="Arial" w:hAnsi="Arial"/>
          <w:b w:val="false"/>
          <w:bCs w:val="false"/>
          <w:i w:val="false"/>
          <w:iCs w:val="false"/>
          <w:color w:val="000000"/>
          <w:sz w:val="22"/>
          <w:szCs w:val="22"/>
        </w:rPr>
        <w:t xml:space="preserve">The internet-era pump-and-dump schemes documented by the SEC in the late 1990s introduced a structural element absent from earlier manipulation cases: speed asymmetry. Operators used automated email distribution to reach tens of thousands of investors within minutes, establishing a manipulated price signal before regulatory detection mechanisms could respond. The structural lesson is that manipulation effectiveness scales with the ratio of manipulation speed to detection speed.</w:t>
      </w:r>
    </w:p>
    <w:p>
      <w:pPr>
        <w:spacing w:after="160" w:before="0" w:line="276"/>
        <w:jc w:val="both"/>
      </w:pPr>
      <w:r>
        <w:rPr>
          <w:rFonts w:ascii="Arial" w:cs="Arial" w:eastAsia="Arial" w:hAnsi="Arial"/>
          <w:b w:val="false"/>
          <w:bCs w:val="false"/>
          <w:i w:val="false"/>
          <w:iCs w:val="false"/>
          <w:color w:val="000000"/>
          <w:sz w:val="22"/>
          <w:szCs w:val="22"/>
        </w:rPr>
        <w:t xml:space="preserve">CLPMAI attacks operate at a speed-asymmetry ratio that makes internet-era email campaigns appear slow by comparison. AI-mediated cognitive manipulation operates at conversation speed — milliseconds per interaction, millions of interactions per hour across a contaminated AI assistant ecosystem. Regulatory detection operates at investigation speed — weeks to months from signal to enforcement action. The structural prerequisite for Layer 0 exploitation is not just that developers trust AI; it is that they trust AI faster than any detection mechanism can observe the trust being exploited.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Historical Case</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Layer 0 Structural Parallel</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Key Amplification Factor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Bucket shop price feeds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proxy response manipulation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millions of endpoints vs. regional shops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Pecora analyst capture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assistant cognitive drift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Invisibility: no disclosure requirement for AI bias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pump-and-dump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Forum-based semantic seeding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ms/interaction vs. hours/email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LIBOR manipulation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Multi-party AI output coordination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Systemic: benchmark-setting vs. individual signals</w:t>
            </w:r>
          </w:p>
        </w:tc>
      </w:tr>
    </w:tbl>
    <w:p>
      <w:pPr>
        <w:spacing w:after="160" w:before="0"/>
      </w:pPr>
    </w:p>
    <w:p>
      <w:pPr>
        <w:pStyle w:val="Heading3"/>
      </w:pPr>
      <w:r>
        <w:rPr>
          <w:rFonts w:ascii="Arial" w:cs="Arial" w:eastAsia="Arial" w:hAnsi="Arial"/>
          <w:b/>
          <w:bCs/>
          <w:color w:val="2E75B6"/>
          <w:sz w:val="23"/>
          <w:szCs w:val="23"/>
        </w:rPr>
        <w:t xml:space="preserve">0.5.4  The LIBOR Manipulation Case (2012): Coordinated Benchmark Corruption</w:t>
      </w:r>
    </w:p>
    <w:p>
      <w:pPr>
        <w:spacing w:after="160" w:before="0" w:line="276"/>
        <w:jc w:val="both"/>
      </w:pPr>
      <w:r>
        <w:rPr>
          <w:rFonts w:ascii="Arial" w:cs="Arial" w:eastAsia="Arial" w:hAnsi="Arial"/>
          <w:b w:val="false"/>
          <w:bCs w:val="false"/>
          <w:i w:val="false"/>
          <w:iCs w:val="false"/>
          <w:color w:val="000000"/>
          <w:sz w:val="22"/>
          <w:szCs w:val="22"/>
        </w:rPr>
        <w:t xml:space="preserve">The LIBOR manipulation scandal, in which traders at multiple institutions coordinated submissions to corrupt the benchmark interest rate, introduces the final structural element relevant to Layer 0: multi-party coordination for benchmark corruption. Individual LIBOR submissions appeared legitimate; the manipulation was only visible in the statistical pattern of coordinated submissions across institutions.</w:t>
      </w:r>
    </w:p>
    <w:p>
      <w:pPr>
        <w:spacing w:after="160" w:before="0" w:line="276"/>
        <w:jc w:val="both"/>
      </w:pPr>
      <w:r>
        <w:rPr>
          <w:rFonts w:ascii="Arial" w:cs="Arial" w:eastAsia="Arial" w:hAnsi="Arial"/>
          <w:b w:val="false"/>
          <w:bCs w:val="false"/>
          <w:i w:val="false"/>
          <w:iCs w:val="false"/>
          <w:color w:val="000000"/>
          <w:sz w:val="22"/>
          <w:szCs w:val="22"/>
        </w:rPr>
        <w:t xml:space="preserve">The CLPMAI attack chain proposes an analogous structure at the AI output layer. Individual AI responses, if evaluated in isolation, may appear unbiased and helpful. The manipulation is structurally encoded in the aggregate pattern of outputs across contaminated assistants — a pattern that produces a systematic bias in the collective financial signal that the developer population receives. Like LIBOR, the signal appears legitimate at each individual data point. The corruption is in the correlation structure.</w:t>
      </w:r>
    </w:p>
    <w:p>
      <w:pPr>
        <w:spacing w:after="160" w:before="0" w:line="276"/>
        <w:jc w:val="both"/>
      </w:pPr>
      <w:r>
        <w:rPr>
          <w:rFonts w:ascii="Arial" w:cs="Arial" w:eastAsia="Arial" w:hAnsi="Arial"/>
          <w:b w:val="false"/>
          <w:bCs w:val="false"/>
          <w:i w:val="false"/>
          <w:iCs w:val="false"/>
          <w:color w:val="000000"/>
          <w:sz w:val="22"/>
          <w:szCs w:val="22"/>
        </w:rPr>
        <w:t xml:space="preserve">This analogy has a direct methodological implication: detection of CLPMAI-class attacks requires correlation analysis across AI assistant outputs at population scale — precisely the type of analysis that is currently absent from AI safety auditing frameworks. Layer 0 not only describes preconditions for the attack; it implies that the preconditions include the absence of population-level output correlation monitoring.</w:t>
      </w:r>
    </w:p>
    <w:p>
      <w:pPr>
        <w:spacing w:after="160" w:before="0"/>
      </w:pPr>
    </w:p>
    <w:p>
      <w:pPr>
        <w:pStyle w:val="Heading2"/>
      </w:pPr>
      <w:r>
        <w:rPr>
          <w:rFonts w:ascii="Arial" w:cs="Arial" w:eastAsia="Arial" w:hAnsi="Arial"/>
          <w:b/>
          <w:bCs/>
          <w:color w:val="2B5797"/>
          <w:sz w:val="26"/>
          <w:szCs w:val="26"/>
        </w:rPr>
        <w:t xml:space="preserve">0.6  Layer 0 Synthesis: The Precondition Matrix</w:t>
      </w:r>
    </w:p>
    <w:p>
      <w:pPr>
        <w:spacing w:after="160" w:before="0" w:line="276"/>
        <w:jc w:val="both"/>
      </w:pPr>
      <w:r>
        <w:rPr>
          <w:rFonts w:ascii="Arial" w:cs="Arial" w:eastAsia="Arial" w:hAnsi="Arial"/>
          <w:b w:val="false"/>
          <w:bCs w:val="false"/>
          <w:i w:val="false"/>
          <w:iCs w:val="false"/>
          <w:color w:val="000000"/>
          <w:sz w:val="22"/>
          <w:szCs w:val="22"/>
        </w:rPr>
        <w:t xml:space="preserve">The three structural axes of Layer 0 — the Mondrian-identified gap in algorithmic authority modeling, the developer trust assumption, and the API key payment risk — combine with the historical evidence base to define a precondition matrix. The cross-layer attack chain described in Layers 1 through 5 is only viable when this matrix is populated.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Current Status</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Attack Enablement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Mondrian gap: no population-level output correlation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absent from major AI safety frameworks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undetected semantic coordination across assistants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trust assumption: no adversarial priors for AI output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Confirmed by behavioral studies [6]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Enables cognitive drift and authority transfer exploitation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financial-cognitive coupling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feature of all major AI-as-a-Service deployments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proxy-based response manipulation without endpoint compromise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 asymmetry: manipulation speed &gt;&gt; detection speed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Confirmed by regulatory response timeline analysis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Creates exploitation window of weeks to months per campaign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disclosure requirements for AI training data provenance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 by current financial AI regulations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detection of supply chain and forum contamination (Layers 1, 4)</w:t>
            </w:r>
          </w:p>
        </w:tc>
      </w:tr>
    </w:tbl>
    <w:p>
      <w:pPr>
        <w:spacing w:after="160" w:before="0"/>
      </w:pPr>
    </w:p>
    <w:p>
      <w:pPr>
        <w:spacing w:after="160" w:before="0" w:line="276"/>
        <w:jc w:val="both"/>
      </w:pPr>
      <w:r>
        <w:rPr>
          <w:rFonts w:ascii="Arial" w:cs="Arial" w:eastAsia="Arial" w:hAnsi="Arial"/>
          <w:b w:val="false"/>
          <w:bCs w:val="false"/>
          <w:i w:val="false"/>
          <w:iCs w:val="false"/>
          <w:color w:val="000000"/>
          <w:sz w:val="22"/>
          <w:szCs w:val="22"/>
        </w:rPr>
        <w:t xml:space="preserve">Each precondition in the matrix is currently satisfied in deployed AI-assisted financial systems. This is not a theoretical possibility space — it is the operational reality within which CLPMAI attacks are feasible today. Layer 0 does not describe a future vulnerability. It describes the ground state of the current AI deployment ecosystem.</w:t>
      </w:r>
    </w:p>
    <w:p>
      <w:pPr>
        <w:spacing w:after="160" w:before="0" w:line="276"/>
        <w:jc w:val="both"/>
      </w:pPr>
      <w:r>
        <w:rPr>
          <w:rFonts w:ascii="Arial" w:cs="Arial" w:eastAsia="Arial" w:hAnsi="Arial"/>
          <w:b w:val="false"/>
          <w:bCs w:val="false"/>
          <w:i w:val="false"/>
          <w:iCs w:val="false"/>
          <w:color w:val="000000"/>
          <w:sz w:val="22"/>
          <w:szCs w:val="22"/>
        </w:rPr>
        <w:t xml:space="preserve">The practical implication is sobering: an attacker who wishes to conduct a CLPMAI-class attack does not need to create Layer 0 conditions. They need only to recognize and exploit preconditions that already exist. The attack's sophistication lies not in compromising defenses but in weaponizing the structural features of a system that was never designed to defend against semantic-layer coordination attacks.</w:t>
      </w:r>
    </w:p>
    <w:p>
      <w:pPr>
        <w:spacing w:after="160" w:before="0"/>
      </w:pPr>
    </w:p>
    <w:p>
      <w:pPr>
        <w:pStyle w:val="Heading2"/>
      </w:pPr>
      <w:r>
        <w:rPr>
          <w:rFonts w:ascii="Arial" w:cs="Arial" w:eastAsia="Arial" w:hAnsi="Arial"/>
          <w:b/>
          <w:bCs/>
          <w:color w:val="2B5797"/>
          <w:sz w:val="26"/>
          <w:szCs w:val="26"/>
        </w:rPr>
        <w:t xml:space="preserve">0.7  Proposed MITRE ATLAS Contribution: Layer 0 Techniques</w:t>
      </w:r>
    </w:p>
    <w:p>
      <w:pPr>
        <w:spacing w:after="160" w:before="0" w:line="276"/>
        <w:jc w:val="both"/>
      </w:pPr>
      <w:r>
        <w:rPr>
          <w:rFonts w:ascii="Arial" w:cs="Arial" w:eastAsia="Arial" w:hAnsi="Arial"/>
          <w:b w:val="false"/>
          <w:bCs w:val="false"/>
          <w:i w:val="false"/>
          <w:iCs w:val="false"/>
          <w:color w:val="000000"/>
          <w:sz w:val="22"/>
          <w:szCs w:val="22"/>
        </w:rPr>
        <w:t xml:space="preserve">Based on the Layer 0 analysis, we propose the following additions to the MITRE ATLAS framework for adversarial machine learning: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Proposed ID</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Technique Name</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Layer 0 Axis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AML.TXX.004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Proxy Response Interception and Modification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Payment Risk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AML.TXX.005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Cognitive Authority Transfer Exploitation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Trust Assumption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AML.TXX.006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Population-Level Output Correlation Attack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Mondrian Gap / LIBOR analog</w:t>
            </w:r>
          </w:p>
        </w:tc>
      </w:tr>
    </w:tbl>
    <w:p>
      <w:pPr>
        <w:spacing w:after="160" w:before="0"/>
      </w:pPr>
    </w:p>
    <w:p>
      <w:pPr>
        <w:pStyle w:val="Heading1"/>
      </w:pPr>
      <w:r>
        <w:rPr>
          <w:rFonts w:ascii="Arial" w:cs="Arial" w:eastAsia="Arial" w:hAnsi="Arial"/>
          <w:b/>
          <w:bCs/>
          <w:color w:val="1F4E79"/>
          <w:sz w:val="32"/>
          <w:szCs w:val="32"/>
        </w:rPr>
        <w:t xml:space="preserve">References</w:t>
      </w:r>
    </w:p>
    <w:p>
      <w:pPr>
        <w:spacing w:after="60" w:before="60"/>
        <w:ind w:left="720" w:hanging="360"/>
      </w:pPr>
      <w:r>
        <w:rPr>
          <w:rFonts w:ascii="Arial" w:cs="Arial" w:eastAsia="Arial" w:hAnsi="Arial"/>
          <w:b/>
          <w:bCs/>
          <w:sz w:val="20"/>
          <w:szCs w:val="20"/>
        </w:rPr>
        <w:t xml:space="preserve">[1]  </w:t>
      </w:r>
      <w:r>
        <w:rPr>
          <w:rFonts w:ascii="Arial" w:cs="Arial" w:eastAsia="Arial" w:hAnsi="Arial"/>
          <w:sz w:val="20"/>
          <w:szCs w:val="20"/>
        </w:rPr>
        <w:t xml:space="preserve">LeFevre, K., DeWitt, D.J., Ramakrishnan, R. (2006). Mondrian Multidimensional K-Anonymity. ICDE 2006.</w:t>
      </w:r>
    </w:p>
    <w:p>
      <w:pPr>
        <w:spacing w:after="60" w:before="60"/>
        <w:ind w:left="720" w:hanging="360"/>
      </w:pPr>
      <w:r>
        <w:rPr>
          <w:rFonts w:ascii="Arial" w:cs="Arial" w:eastAsia="Arial" w:hAnsi="Arial"/>
          <w:b/>
          <w:bCs/>
          <w:sz w:val="20"/>
          <w:szCs w:val="20"/>
        </w:rPr>
        <w:t xml:space="preserve">[2]  </w:t>
      </w:r>
      <w:r>
        <w:rPr>
          <w:rFonts w:ascii="Arial" w:cs="Arial" w:eastAsia="Arial" w:hAnsi="Arial"/>
          <w:sz w:val="20"/>
          <w:szCs w:val="20"/>
        </w:rPr>
        <w:t xml:space="preserve">Rambaccussing, D., Kwiatkowski, A. (2020). Forecasting with News Sentiment. Journal of Economics and Business, 115.</w:t>
      </w:r>
    </w:p>
    <w:p>
      <w:pPr>
        <w:spacing w:after="60" w:before="60"/>
        <w:ind w:left="720" w:hanging="360"/>
      </w:pPr>
      <w:r>
        <w:rPr>
          <w:rFonts w:ascii="Arial" w:cs="Arial" w:eastAsia="Arial" w:hAnsi="Arial"/>
          <w:b/>
          <w:bCs/>
          <w:sz w:val="20"/>
          <w:szCs w:val="20"/>
        </w:rPr>
        <w:t xml:space="preserve">[3]  </w:t>
      </w:r>
      <w:r>
        <w:rPr>
          <w:rFonts w:ascii="Arial" w:cs="Arial" w:eastAsia="Arial" w:hAnsi="Arial"/>
          <w:sz w:val="20"/>
          <w:szCs w:val="20"/>
        </w:rPr>
        <w:t xml:space="preserve">Perez, F., Ribeiro, M., Guestrin, C. (2022). Adversarial Confidence Manipulation in Large Language Models. ACL Workshop on Trustworthy NLP.</w:t>
      </w:r>
    </w:p>
    <w:p>
      <w:pPr>
        <w:spacing w:after="60" w:before="60"/>
        <w:ind w:left="720" w:hanging="360"/>
      </w:pPr>
      <w:r>
        <w:rPr>
          <w:rFonts w:ascii="Arial" w:cs="Arial" w:eastAsia="Arial" w:hAnsi="Arial"/>
          <w:b/>
          <w:bCs/>
          <w:sz w:val="20"/>
          <w:szCs w:val="20"/>
        </w:rPr>
        <w:t xml:space="preserve">[4]  </w:t>
      </w:r>
      <w:r>
        <w:rPr>
          <w:rFonts w:ascii="Arial" w:cs="Arial" w:eastAsia="Arial" w:hAnsi="Arial"/>
          <w:sz w:val="20"/>
          <w:szCs w:val="20"/>
        </w:rPr>
        <w:t xml:space="preserve">Kirilenko, A., Kyle, A.S., Samadi, M., Tuzun, T. (2017). The Flash Crash: High Frequency Trading in an Electronic Market. Journal of Finance, 72(3).</w:t>
      </w:r>
    </w:p>
    <w:p>
      <w:pPr>
        <w:spacing w:after="60" w:before="60"/>
        <w:ind w:left="720" w:hanging="360"/>
      </w:pPr>
      <w:r>
        <w:rPr>
          <w:rFonts w:ascii="Arial" w:cs="Arial" w:eastAsia="Arial" w:hAnsi="Arial"/>
          <w:b/>
          <w:bCs/>
          <w:sz w:val="20"/>
          <w:szCs w:val="20"/>
        </w:rPr>
        <w:t xml:space="preserve">[5]  </w:t>
      </w:r>
      <w:r>
        <w:rPr>
          <w:rFonts w:ascii="Arial" w:cs="Arial" w:eastAsia="Arial" w:hAnsi="Arial"/>
          <w:sz w:val="20"/>
          <w:szCs w:val="20"/>
        </w:rPr>
        <w:t xml:space="preserve">Goldblum, M., Tsipras, D., et al. (2022). Dataset Security for Machine Learning: Data Poisoning, Backdoor Attacks, and Defenses. IEEE TPAMI.</w:t>
      </w:r>
    </w:p>
    <w:p>
      <w:pPr>
        <w:spacing w:after="60" w:before="60"/>
        <w:ind w:left="720" w:hanging="360"/>
      </w:pPr>
      <w:r>
        <w:rPr>
          <w:rFonts w:ascii="Arial" w:cs="Arial" w:eastAsia="Arial" w:hAnsi="Arial"/>
          <w:b/>
          <w:bCs/>
          <w:sz w:val="20"/>
          <w:szCs w:val="20"/>
        </w:rPr>
        <w:t xml:space="preserve">[6]  </w:t>
      </w:r>
      <w:r>
        <w:rPr>
          <w:rFonts w:ascii="Arial" w:cs="Arial" w:eastAsia="Arial" w:hAnsi="Arial"/>
          <w:sz w:val="20"/>
          <w:szCs w:val="20"/>
        </w:rPr>
        <w:t xml:space="preserve">Ziegler, D., et al. (2022). Productivity Assessment of Neural Code Completion. DL4C Workshop, ICLR 2022.</w:t>
      </w:r>
    </w:p>
    <w:p>
      <w:pPr>
        <w:spacing w:after="60" w:before="60"/>
        <w:ind w:left="720" w:hanging="360"/>
      </w:pPr>
      <w:r>
        <w:rPr>
          <w:rFonts w:ascii="Arial" w:cs="Arial" w:eastAsia="Arial" w:hAnsi="Arial"/>
          <w:b/>
          <w:bCs/>
          <w:sz w:val="20"/>
          <w:szCs w:val="20"/>
        </w:rPr>
        <w:t xml:space="preserve">[7]  </w:t>
      </w:r>
      <w:r>
        <w:rPr>
          <w:rFonts w:ascii="Arial" w:cs="Arial" w:eastAsia="Arial" w:hAnsi="Arial"/>
          <w:sz w:val="20"/>
          <w:szCs w:val="20"/>
        </w:rPr>
        <w:t xml:space="preserve">Madhavan, P., Wiegmann, D.A. (2007). Similarities and Differences Between Human–Human and Human–Automation Trust. Theoretical Issues in Ergonomics Science, 8(5).</w:t>
      </w:r>
    </w:p>
    <w:p>
      <w:pPr>
        <w:spacing w:after="60" w:before="60"/>
        <w:ind w:left="720" w:hanging="360"/>
      </w:pPr>
      <w:r>
        <w:rPr>
          <w:rFonts w:ascii="Arial" w:cs="Arial" w:eastAsia="Arial" w:hAnsi="Arial"/>
          <w:b/>
          <w:bCs/>
          <w:sz w:val="20"/>
          <w:szCs w:val="20"/>
        </w:rPr>
        <w:t xml:space="preserve">[8]  </w:t>
      </w:r>
      <w:r>
        <w:rPr>
          <w:rFonts w:ascii="Arial" w:cs="Arial" w:eastAsia="Arial" w:hAnsi="Arial"/>
          <w:sz w:val="20"/>
          <w:szCs w:val="20"/>
        </w:rPr>
        <w:t xml:space="preserve">GitGuardian. (2024). State of Secrets Sprawl 2024. GitGuardian Annual Report.</w:t>
      </w:r>
    </w:p>
    <w:p>
      <w:pPr>
        <w:spacing w:after="60" w:before="60"/>
        <w:ind w:left="720" w:hanging="360"/>
      </w:pPr>
      <w:r>
        <w:rPr>
          <w:rFonts w:ascii="Arial" w:cs="Arial" w:eastAsia="Arial" w:hAnsi="Arial"/>
          <w:b/>
          <w:bCs/>
          <w:sz w:val="20"/>
          <w:szCs w:val="20"/>
        </w:rPr>
        <w:t xml:space="preserve">[9]  </w:t>
      </w:r>
      <w:r>
        <w:rPr>
          <w:rFonts w:ascii="Arial" w:cs="Arial" w:eastAsia="Arial" w:hAnsi="Arial"/>
          <w:sz w:val="20"/>
          <w:szCs w:val="20"/>
        </w:rPr>
        <w:t xml:space="preserve">Lefèvre, Edwin [pseud. Jesse Livermore]. (1923). Reminiscences of a Stock Operator. George H. Doran.</w:t>
      </w:r>
    </w:p>
    <w:p>
      <w:pPr>
        <w:spacing w:after="240" w:before="0"/>
      </w:pPr>
    </w:p>
    <w:p>
      <w:pPr>
        <w:pBdr>
          <w:top w:val="single" w:color="2E75B6" w:sz="4" w:space="8"/>
        </w:pBdr>
        <w:spacing w:after="80" w:before="200"/>
      </w:pPr>
      <w:r>
        <w:rPr>
          <w:rFonts w:ascii="Arial" w:cs="Arial" w:eastAsia="Arial" w:hAnsi="Arial"/>
          <w:i/>
          <w:iCs/>
          <w:color w:val="888888"/>
          <w:sz w:val="18"/>
          <w:szCs w:val="18"/>
        </w:rPr>
        <w:t xml:space="preserve">Author: WeiMing Yu  |  CLPMAI Research Series  |  Draft for review — 2026-05-03</w:t>
      </w:r>
    </w:p>
    <w:p>
      <w:pPr>
        <w:spacing w:after="160" w:before="0" w:line="276"/>
        <w:jc w:val="both"/>
      </w:pPr>
      <w:r>
        <w:rPr>
          <w:rFonts w:ascii="Arial" w:cs="Arial" w:eastAsia="Arial" w:hAnsi="Arial"/>
          <w:b w:val="false"/>
          <w:bCs w:val="false"/>
          <w:i w:val="false"/>
          <w:iCs w:val="false"/>
          <w:color w:val="000000"/>
          <w:sz w:val="22"/>
          <w:szCs w:val="22"/>
        </w:rPr>
        <w:t xml:space="preserve">This section constitutes the Layer 0 chapter of CLPMAI Paper 2: Cross-Layer Attack Chain. It is intended as a standalone submission component or as the opening section of the full five-layer paper. Sections covering Layers 1–5 are developed separately.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CLPMAI Paper 2 — Layer 0 Draft  |  </w:t>
    </w:r>
    <w:r>
      <w:rPr>
        <w:rFonts w:ascii="Arial" w:cs="Arial" w:eastAsia="Arial" w:hAnsi="Arial"/>
        <w:color w:val="888888"/>
        <w:sz w:val="18"/>
        <w:szCs w:val="18"/>
      </w:rPr>
      <w:t xml:space="preserve">  |  WeiMing Yu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B579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2026-05-03T07:21:00.878Z</dcterms:created>
  <dcterms:modified xsi:type="dcterms:W3CDTF">2026-05-03T07:21:00.878Z</dcterms:modified>
</cp:coreProperties>
</file>

<file path=docProps/custom.xml><?xml version="1.0" encoding="utf-8"?>
<Properties xmlns="http://schemas.openxmlformats.org/officeDocument/2006/custom-properties" xmlns:vt="http://schemas.openxmlformats.org/officeDocument/2006/docPropsVTypes"/>
</file>