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00D78">
      <w:pPr>
        <w:spacing w:before="1800"/>
        <w:jc w:val="center"/>
      </w:pPr>
      <w:r>
        <w:rPr>
          <w:rFonts w:ascii="Times New Roman" w:hAnsi="Times New Roman" w:eastAsia="SimSun"/>
          <w:b/>
          <w:color w:val="000000"/>
          <w:sz w:val="44"/>
        </w:rPr>
        <w:t>学校心理健康教育调研项目</w:t>
      </w:r>
    </w:p>
    <w:p w14:paraId="3640194E">
      <w:pPr>
        <w:spacing w:before="200" w:after="560"/>
        <w:jc w:val="center"/>
      </w:pPr>
      <w:r>
        <w:rPr>
          <w:rFonts w:ascii="Times New Roman" w:hAnsi="Times New Roman" w:eastAsia="SimSun"/>
          <w:b/>
          <w:color w:val="000000"/>
          <w:sz w:val="36"/>
        </w:rPr>
        <w:t>总体数据分析计划</w:t>
      </w:r>
    </w:p>
    <w:p w14:paraId="047BF0AF">
      <w:pPr>
        <w:jc w:val="center"/>
      </w:pPr>
      <w:r>
        <w:rPr>
          <w:rFonts w:ascii="Times New Roman" w:hAnsi="Times New Roman" w:eastAsia="SimSun"/>
          <w:color w:val="000000"/>
          <w:sz w:val="24"/>
        </w:rPr>
        <w:t>学生问卷 · 家长问卷 · 教师问卷 · 学校负责人访谈</w:t>
      </w:r>
    </w:p>
    <w:p w14:paraId="0542A0A2">
      <w:pPr>
        <w:spacing w:before="2400"/>
        <w:jc w:val="center"/>
      </w:pPr>
      <w:r>
        <w:rPr>
          <w:rFonts w:ascii="Times New Roman" w:hAnsi="Times New Roman" w:eastAsia="SimSun"/>
          <w:color w:val="5A5A5A"/>
          <w:sz w:val="21"/>
        </w:rPr>
        <w:t>正式版本 v1.3  |  2026年8月23日</w:t>
      </w:r>
    </w:p>
    <w:p w14:paraId="695BB064">
      <w:r>
        <w:rPr>
          <w:rFonts w:ascii="Times New Roman" w:hAnsi="Times New Roman" w:eastAsia="SimSun"/>
          <w:b w:val="0"/>
          <w:color w:val="000000"/>
          <w:sz w:val="21"/>
        </w:rPr>
        <w:t>版本：v1.3</w:t>
      </w:r>
    </w:p>
    <w:p w14:paraId="47689BA3">
      <w:r>
        <w:rPr>
          <w:rFonts w:ascii="Times New Roman" w:hAnsi="Times New Roman" w:eastAsia="SimSun"/>
          <w:b w:val="0"/>
          <w:color w:val="000000"/>
          <w:sz w:val="21"/>
        </w:rPr>
        <w:t>状态：正式研究方案与分析记录</w:t>
      </w:r>
    </w:p>
    <w:p w14:paraId="78E9248F">
      <w:r>
        <w:rPr>
          <w:rFonts w:ascii="Times New Roman" w:hAnsi="Times New Roman" w:eastAsia="SimSun"/>
          <w:b w:val="0"/>
          <w:color w:val="000000"/>
          <w:sz w:val="21"/>
        </w:rPr>
        <w:t>日期：2026-08-23</w:t>
      </w:r>
    </w:p>
    <w:p w14:paraId="22E46C9A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一、文件定位</w:t>
      </w:r>
    </w:p>
    <w:p w14:paraId="02ED9846">
      <w:r>
        <w:rPr>
          <w:rFonts w:ascii="Times New Roman" w:hAnsi="Times New Roman" w:eastAsia="SimSun"/>
          <w:b w:val="0"/>
          <w:color w:val="000000"/>
          <w:sz w:val="21"/>
        </w:rPr>
        <w:t>本计划用于明确学校心理健康教育调研项目的研究问题、资料结构、分析路径和质量控制要求。项目按照数据分析计划、数据预处理、正式分析、阶段报告和跨来源综合报告的顺序推进，各阶段采用统一的变量口径、统计方法和解释边界。</w:t>
      </w:r>
    </w:p>
    <w:p w14:paraId="1779F850">
      <w:r>
        <w:rPr>
          <w:rFonts w:ascii="Times New Roman" w:hAnsi="Times New Roman" w:eastAsia="SimSun"/>
          <w:b w:val="0"/>
          <w:color w:val="000000"/>
          <w:sz w:val="21"/>
        </w:rPr>
        <w:t>项目采用多来源、来源内分析优先的混合资料框架。学生问卷、家长问卷、教师问卷和学校负责人访谈分别分析；三类问卷不合并为一个总样本。各来源完成内部分析后，再通过证据矩阵比较相互印证、相互补充或存在张力的结果。</w:t>
      </w:r>
    </w:p>
    <w:p w14:paraId="0C854A93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二、研究目的</w:t>
      </w:r>
    </w:p>
    <w:p w14:paraId="26B9B6D4">
      <w:pPr>
        <w:pStyle w:val="14"/>
      </w:pPr>
      <w:r>
        <w:rPr>
          <w:rFonts w:ascii="Times New Roman" w:hAnsi="Times New Roman" w:eastAsia="SimSun"/>
          <w:b w:val="0"/>
          <w:color w:val="000000"/>
          <w:sz w:val="21"/>
        </w:rPr>
        <w:t>描述学生、家长和教师对学校心理健康教育的认知、评价、参与和需求。</w:t>
      </w:r>
    </w:p>
    <w:p w14:paraId="66F50D81">
      <w:pPr>
        <w:pStyle w:val="14"/>
      </w:pPr>
      <w:r>
        <w:rPr>
          <w:rFonts w:ascii="Times New Roman" w:hAnsi="Times New Roman" w:eastAsia="SimSun"/>
          <w:b w:val="0"/>
          <w:color w:val="000000"/>
          <w:sz w:val="21"/>
        </w:rPr>
        <w:t>识别心理健康教育在课程、活动、筛查、档案、辅导、转介和危机支持链条中的基础与断点。</w:t>
      </w:r>
    </w:p>
    <w:p w14:paraId="0CDB0D50">
      <w:pPr>
        <w:pStyle w:val="14"/>
      </w:pPr>
      <w:r>
        <w:rPr>
          <w:rFonts w:ascii="Times New Roman" w:hAnsi="Times New Roman" w:eastAsia="SimSun"/>
          <w:b w:val="0"/>
          <w:color w:val="000000"/>
          <w:sz w:val="21"/>
        </w:rPr>
        <w:t>理解班主任、家庭、学校管理者及外部资源在现有工作中的实际角色和能力边界。</w:t>
      </w:r>
    </w:p>
    <w:p w14:paraId="1A9C6956">
      <w:pPr>
        <w:pStyle w:val="14"/>
      </w:pPr>
      <w:r>
        <w:rPr>
          <w:rFonts w:ascii="Times New Roman" w:hAnsi="Times New Roman" w:eastAsia="SimSun"/>
          <w:b w:val="0"/>
          <w:color w:val="000000"/>
          <w:sz w:val="21"/>
        </w:rPr>
        <w:t>将封闭题统计、开放文本和访谈主题放在各自证据强度范围内解释，形成可操作且不标签化学生、家庭或教师的阶段结论。</w:t>
      </w:r>
    </w:p>
    <w:p w14:paraId="78FA96C4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三、资料来源与分析单位</w:t>
      </w:r>
    </w:p>
    <w:tbl>
      <w:tblPr>
        <w:tblStyle w:val="32"/>
        <w:tblW w:w="9026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6"/>
      </w:tblGrid>
      <w:tr w14:paraId="77B9F3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5" w:type="dxa"/>
            <w:shd w:val="clear" w:color="auto" w:fill="FFFFFF"/>
            <w:vAlign w:val="center"/>
          </w:tcPr>
          <w:p w14:paraId="55955EC3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来源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4FBE6DD8">
            <w:pPr>
              <w:pStyle w:val="164"/>
            </w:pPr>
            <w:r>
              <w:rPr>
                <w:rFonts w:ascii="Times New Roman" w:hAnsi="Times New Roman" w:eastAsia="SimSun"/>
              </w:rPr>
              <w:t>样本/材料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1ECAD51C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量化材料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1E08258C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质性材料</w:t>
            </w:r>
          </w:p>
        </w:tc>
        <w:tc>
          <w:tcPr>
            <w:tcW w:w="1806" w:type="dxa"/>
            <w:shd w:val="clear" w:color="auto" w:fill="FFFFFF"/>
            <w:vAlign w:val="center"/>
          </w:tcPr>
          <w:p w14:paraId="2A3367DB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分析单位</w:t>
            </w:r>
          </w:p>
        </w:tc>
      </w:tr>
      <w:tr w14:paraId="6665AC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151721D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学生问卷</w:t>
            </w:r>
          </w:p>
        </w:tc>
        <w:tc>
          <w:tcPr>
            <w:tcW w:w="1805" w:type="dxa"/>
            <w:vAlign w:val="center"/>
          </w:tcPr>
          <w:p w14:paraId="653DA4EF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99份有效答卷</w:t>
            </w:r>
          </w:p>
        </w:tc>
        <w:tc>
          <w:tcPr>
            <w:tcW w:w="1805" w:type="dxa"/>
            <w:vAlign w:val="center"/>
          </w:tcPr>
          <w:p w14:paraId="56FA6E48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Q1—Q2、年级代码</w:t>
            </w:r>
          </w:p>
        </w:tc>
        <w:tc>
          <w:tcPr>
            <w:tcW w:w="1805" w:type="dxa"/>
            <w:vAlign w:val="center"/>
          </w:tcPr>
          <w:p w14:paraId="5557878A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Q3—Q5</w:t>
            </w:r>
          </w:p>
        </w:tc>
        <w:tc>
          <w:tcPr>
            <w:tcW w:w="1806" w:type="dxa"/>
            <w:vAlign w:val="center"/>
          </w:tcPr>
          <w:p w14:paraId="07E8C452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每名学生的题项回答；开放题以“学生×题目”为基本单位</w:t>
            </w:r>
          </w:p>
        </w:tc>
      </w:tr>
      <w:tr w14:paraId="5CB84A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2C2712D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家长问卷</w:t>
            </w:r>
          </w:p>
        </w:tc>
        <w:tc>
          <w:tcPr>
            <w:tcW w:w="1805" w:type="dxa"/>
            <w:vAlign w:val="center"/>
          </w:tcPr>
          <w:p w14:paraId="594B7A40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原始91份，排除4份后87份</w:t>
            </w:r>
          </w:p>
        </w:tc>
        <w:tc>
          <w:tcPr>
            <w:tcW w:w="1805" w:type="dxa"/>
            <w:vAlign w:val="center"/>
          </w:tcPr>
          <w:p w14:paraId="62380FF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Q1—Q7的封闭部分</w:t>
            </w:r>
          </w:p>
        </w:tc>
        <w:tc>
          <w:tcPr>
            <w:tcW w:w="1805" w:type="dxa"/>
            <w:vAlign w:val="center"/>
          </w:tcPr>
          <w:p w14:paraId="69FB8C9A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Q7具体方式、Q8建议</w:t>
            </w:r>
          </w:p>
        </w:tc>
        <w:tc>
          <w:tcPr>
            <w:tcW w:w="1806" w:type="dxa"/>
            <w:vAlign w:val="center"/>
          </w:tcPr>
          <w:p w14:paraId="2269B3C6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每名家长的题项回答；文本以“家长×文本字段”为基本单位</w:t>
            </w:r>
          </w:p>
        </w:tc>
      </w:tr>
      <w:tr w14:paraId="27B4B2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5657E72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教师问卷</w:t>
            </w:r>
          </w:p>
        </w:tc>
        <w:tc>
          <w:tcPr>
            <w:tcW w:w="1805" w:type="dxa"/>
            <w:vAlign w:val="center"/>
          </w:tcPr>
          <w:p w14:paraId="39A57CA5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17份有效答卷</w:t>
            </w:r>
          </w:p>
        </w:tc>
        <w:tc>
          <w:tcPr>
            <w:tcW w:w="1805" w:type="dxa"/>
            <w:vAlign w:val="center"/>
          </w:tcPr>
          <w:p w14:paraId="61030692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T_Q01—T_Q53中的封闭、类别、有序、多选和数值字段</w:t>
            </w:r>
          </w:p>
        </w:tc>
        <w:tc>
          <w:tcPr>
            <w:tcW w:w="1805" w:type="dxa"/>
            <w:vAlign w:val="center"/>
          </w:tcPr>
          <w:p w14:paraId="6CDEDE6F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“其他”、证书、教材、流程、标准及补充填答</w:t>
            </w:r>
          </w:p>
        </w:tc>
        <w:tc>
          <w:tcPr>
            <w:tcW w:w="1806" w:type="dxa"/>
            <w:vAlign w:val="center"/>
          </w:tcPr>
          <w:p w14:paraId="712E4812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每名教师的题项回答；文本以“教师×文本字段”为基本单位</w:t>
            </w:r>
          </w:p>
        </w:tc>
      </w:tr>
      <w:tr w14:paraId="4E4E62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5" w:type="dxa"/>
            <w:vAlign w:val="center"/>
          </w:tcPr>
          <w:p w14:paraId="3797348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学校负责人访谈</w:t>
            </w:r>
          </w:p>
        </w:tc>
        <w:tc>
          <w:tcPr>
            <w:tcW w:w="1805" w:type="dxa"/>
            <w:vAlign w:val="center"/>
          </w:tcPr>
          <w:p w14:paraId="5BF3290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1次负责人访谈；校订稿划分29个意义单元</w:t>
            </w:r>
          </w:p>
        </w:tc>
        <w:tc>
          <w:tcPr>
            <w:tcW w:w="1805" w:type="dxa"/>
            <w:vAlign w:val="center"/>
          </w:tcPr>
          <w:p w14:paraId="28237600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仅限材料数量、代码频次及编码一致性等辅助描述</w:t>
            </w:r>
          </w:p>
        </w:tc>
        <w:tc>
          <w:tcPr>
            <w:tcW w:w="1805" w:type="dxa"/>
            <w:vAlign w:val="center"/>
          </w:tcPr>
          <w:p w14:paraId="084B78E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校订稿、意义单元、代码、范畴和主题</w:t>
            </w:r>
          </w:p>
        </w:tc>
        <w:tc>
          <w:tcPr>
            <w:tcW w:w="1806" w:type="dxa"/>
            <w:vAlign w:val="center"/>
          </w:tcPr>
          <w:p w14:paraId="283F2306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一段表达完整含义的受访者回答</w:t>
            </w:r>
          </w:p>
        </w:tc>
      </w:tr>
    </w:tbl>
    <w:p w14:paraId="01DD16D8">
      <w:pPr>
        <w:spacing w:after="40"/>
      </w:pPr>
    </w:p>
    <w:p w14:paraId="1D5D53CA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四、研究流程与阶段边界</w:t>
      </w:r>
    </w:p>
    <w:p w14:paraId="18259B93">
      <w:pPr>
        <w:pStyle w:val="5"/>
      </w:pPr>
      <w:r>
        <w:rPr>
          <w:rFonts w:ascii="Times New Roman" w:hAnsi="Times New Roman" w:eastAsia="SimHei"/>
          <w:b/>
          <w:color w:val="000000"/>
          <w:sz w:val="21"/>
        </w:rPr>
        <w:t>第一阶段：数据分析计划</w:t>
      </w:r>
    </w:p>
    <w:p w14:paraId="51166A2F">
      <w:r>
        <w:rPr>
          <w:rFonts w:ascii="Times New Roman" w:hAnsi="Times New Roman" w:eastAsia="SimSun"/>
          <w:b w:val="0"/>
          <w:color w:val="000000"/>
          <w:sz w:val="21"/>
        </w:rPr>
        <w:t>明确研究问题、证据变量、分析方法、质量控制和解释边界。本阶段不放置实际样本剔除结果、数据清洗结果或主题编码结果。</w:t>
      </w:r>
    </w:p>
    <w:p w14:paraId="5A64BB8E">
      <w:pPr>
        <w:pStyle w:val="5"/>
      </w:pPr>
      <w:r>
        <w:rPr>
          <w:rFonts w:ascii="Times New Roman" w:hAnsi="Times New Roman" w:eastAsia="SimHei"/>
          <w:b/>
          <w:color w:val="000000"/>
          <w:sz w:val="21"/>
        </w:rPr>
        <w:t>第二阶段：数据预处理</w:t>
      </w:r>
    </w:p>
    <w:p w14:paraId="0C325F84">
      <w:r>
        <w:rPr>
          <w:rFonts w:ascii="Times New Roman" w:hAnsi="Times New Roman" w:eastAsia="SimSun"/>
          <w:b w:val="0"/>
          <w:color w:val="000000"/>
          <w:sz w:val="21"/>
        </w:rPr>
        <w:t>三类问卷进行样本筛查、量化变量编码、缺失值处理和数据质量记录；访谈处理前提纲、访谈实施提纲、校订稿、匿名化和意义单元准备。开放题和访谈的正式编码不在本阶段完成。</w:t>
      </w:r>
    </w:p>
    <w:p w14:paraId="199C25F3">
      <w:pPr>
        <w:pStyle w:val="5"/>
      </w:pPr>
      <w:r>
        <w:rPr>
          <w:rFonts w:ascii="Times New Roman" w:hAnsi="Times New Roman" w:eastAsia="SimHei"/>
          <w:b/>
          <w:color w:val="000000"/>
          <w:sz w:val="21"/>
        </w:rPr>
        <w:t>第三阶段：数据分析</w:t>
      </w:r>
    </w:p>
    <w:p w14:paraId="31063873">
      <w:r>
        <w:rPr>
          <w:rFonts w:ascii="Times New Roman" w:hAnsi="Times New Roman" w:eastAsia="SimSun"/>
          <w:b w:val="0"/>
          <w:color w:val="000000"/>
          <w:sz w:val="21"/>
        </w:rPr>
        <w:t>三类问卷分别完成量化分析和文本质性分析；访谈完成初始编码、范畴归纳、主题形成、编码员比较和分析备忘录。必要代码仅用于批量、可重复或容易发生人工误差的步骤。</w:t>
      </w:r>
    </w:p>
    <w:p w14:paraId="7239DDD4">
      <w:pPr>
        <w:pStyle w:val="5"/>
      </w:pPr>
      <w:r>
        <w:rPr>
          <w:rFonts w:ascii="Times New Roman" w:hAnsi="Times New Roman" w:eastAsia="SimHei"/>
          <w:b/>
          <w:color w:val="000000"/>
          <w:sz w:val="21"/>
        </w:rPr>
        <w:t>第四阶段：阶段报告</w:t>
      </w:r>
    </w:p>
    <w:p w14:paraId="5557658B">
      <w:r>
        <w:rPr>
          <w:rFonts w:ascii="Times New Roman" w:hAnsi="Times New Roman" w:eastAsia="SimSun"/>
          <w:b w:val="0"/>
          <w:color w:val="000000"/>
          <w:sz w:val="21"/>
        </w:rPr>
        <w:t>分别形成学生问卷、家长问卷、教师问卷和访谈四份报告。每份报告同时保存WPS兼容DOCX和固定版式PDF。</w:t>
      </w:r>
    </w:p>
    <w:p w14:paraId="658EE911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五、量化分析通则</w:t>
      </w:r>
    </w:p>
    <w:p w14:paraId="4ACEC6D4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三类问卷分别分析，不把学生、家长和教师合并为单一总体。</w:t>
      </w:r>
    </w:p>
    <w:p w14:paraId="7F3BC3CB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类别变量报告频数和百分比；明确实际分母，结构性缺失不进入适用题分母。</w:t>
      </w:r>
    </w:p>
    <w:p w14:paraId="51D51AA5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5点有序变量以分布、中位数和四分位距为主要描述；均值和标准差作为便于整体理解的补充描述。</w:t>
      </w:r>
    </w:p>
    <w:p w14:paraId="3211F18F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同一被试两个有序变量的比较使用配对Wilcoxon符号秩检验；两个有序变量的关联使用Spearman等级相关。</w:t>
      </w:r>
    </w:p>
    <w:p w14:paraId="16AE429A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两个独立组的有序变量比较使用Mann-Whitney U检验；三个年级代码组的比较使用Kruskal-Wallis检验。总体检验显著后才进行预定的两两比较。</w:t>
      </w:r>
    </w:p>
    <w:p w14:paraId="3F81DB06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小样本列联表使用Fisher精确检验；不因期望频数不足而机械使用卡方近似。</w:t>
      </w:r>
    </w:p>
    <w:p w14:paraId="0132DF79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同一研究问题下的一组比较采用Holm法控制多重比较错误率。</w:t>
      </w:r>
    </w:p>
    <w:p w14:paraId="060C8EF0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所有推断统计采用双侧检验。大于0.001的p值精确报告；小于0.001时报告为p &lt; 0.001。</w:t>
      </w:r>
    </w:p>
    <w:p w14:paraId="0ED5FF87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在适用时同时报告效应量，例如秩二列相关、Spearman ρ、ε²或优势比，并结合样本结构解释。</w:t>
      </w:r>
    </w:p>
    <w:p w14:paraId="375D9774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不把横断面关联表述为因果，不根据p值单独判断实践意义。</w:t>
      </w:r>
    </w:p>
    <w:p w14:paraId="4532424D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教师问卷不构造“学校心理健康教育总分”，不对并非量表的题目计算整体内部一致性。</w:t>
      </w:r>
    </w:p>
    <w:p w14:paraId="1D2ED69D">
      <w:pPr>
        <w:pStyle w:val="14"/>
        <w:numPr>
          <w:numId w:val="7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所有变量转换、方向统一、派生变量和分母变化均进入清洗记录。</w:t>
      </w:r>
    </w:p>
    <w:p w14:paraId="5BA5E2BC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六、质性分析通则</w:t>
      </w:r>
    </w:p>
    <w:p w14:paraId="0C5BFE4F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学生、家长和教师文本采用多标签内容分析与主题归纳；访谈采用意义单元基础上的主题分析。</w:t>
      </w:r>
    </w:p>
    <w:p w14:paraId="078983FC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编码路径统一记录为：原始文本 → 初始代码 → 二级范畴 → 主题。</w:t>
      </w:r>
    </w:p>
    <w:p w14:paraId="75DA163A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一条文本可以包含多个代码；同一回答在同一代码下最多计1次，因此主题百分比之和可以超过100%。</w:t>
      </w:r>
    </w:p>
    <w:p w14:paraId="4F01C0D7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空白、“无”“不知道”、含义不明、偏题或复制生成痕迹分别标记，不用这些文本否定对应被试的封闭题数据。</w:t>
      </w:r>
    </w:p>
    <w:p w14:paraId="4619322C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频次用于描述材料中主题的可见程度，不等同于心理或社会现象的真实发生率。</w:t>
      </w:r>
    </w:p>
    <w:p w14:paraId="56806A8B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代表性引文优先呈现信息充足、能说明主题边界的文本，同时检查反例、矛盾意见和低频但高风险内容。</w:t>
      </w:r>
    </w:p>
    <w:p w14:paraId="2645C5C2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编码员1与编码员2均先独立完成编码，再进行代码本和分析单位对齐，并以“来源—样本ID—题号/时间段”为键匹配。只有在分析单位和代码层级可比时才报告一致率或按代码计算的κ；低基率代码不以单一κ值判断质量。</w:t>
      </w:r>
    </w:p>
    <w:p w14:paraId="0FE36E2C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编码分歧通过分歧表、备忘录和协商结果保留痕迹，不删除原始编码版本。</w:t>
      </w:r>
    </w:p>
    <w:p w14:paraId="6D6874C5">
      <w:pPr>
        <w:pStyle w:val="14"/>
        <w:numPr>
          <w:numId w:val="8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访谈引文注明其来自校订版非逐字稿；不把经过校订的表述标为逐字引语。</w:t>
      </w:r>
    </w:p>
    <w:p w14:paraId="4DBDEF9C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七、来源内整合与跨来源印证</w:t>
      </w:r>
    </w:p>
    <w:p w14:paraId="740CC7E6">
      <w:r>
        <w:rPr>
          <w:rFonts w:ascii="Times New Roman" w:hAnsi="Times New Roman" w:eastAsia="SimSun"/>
          <w:b w:val="0"/>
          <w:color w:val="000000"/>
          <w:sz w:val="21"/>
        </w:rPr>
        <w:t>每类问卷先在来源内部整合量化和质性证据。例如，学生满意度分布与其开放题中的改进期待需要同时解释；家长参与比例与其具体校外支持方式需要对照；教师对制度的封闭题判断与其补充流程说明需要共同呈现。</w:t>
      </w:r>
    </w:p>
    <w:p w14:paraId="31718B10">
      <w:r>
        <w:rPr>
          <w:rFonts w:ascii="Times New Roman" w:hAnsi="Times New Roman" w:eastAsia="SimSun"/>
          <w:b w:val="0"/>
          <w:color w:val="000000"/>
          <w:sz w:val="21"/>
        </w:rPr>
        <w:t>跨来源比较只围绕预定问题展开：</w:t>
      </w:r>
    </w:p>
    <w:p w14:paraId="3727479C">
      <w:pPr>
        <w:pStyle w:val="14"/>
        <w:numPr>
          <w:numId w:val="9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学校工作是否被学生和家长看见并认可；</w:t>
      </w:r>
    </w:p>
    <w:p w14:paraId="75626745">
      <w:pPr>
        <w:pStyle w:val="14"/>
        <w:numPr>
          <w:numId w:val="9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家长参与、活动体验与行动资源之间的关系；</w:t>
      </w:r>
    </w:p>
    <w:p w14:paraId="26CFF28F">
      <w:pPr>
        <w:pStyle w:val="14"/>
        <w:numPr>
          <w:numId w:val="9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学生偏好的内容形式与教师报告的供给是否吻合；</w:t>
      </w:r>
    </w:p>
    <w:p w14:paraId="54D10A86">
      <w:pPr>
        <w:pStyle w:val="14"/>
        <w:numPr>
          <w:numId w:val="9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教师承担的责任与专业支持是否匹配；</w:t>
      </w:r>
    </w:p>
    <w:p w14:paraId="199445C7">
      <w:pPr>
        <w:pStyle w:val="14"/>
        <w:numPr>
          <w:numId w:val="9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筛查、档案和日常识别是否连接到清晰的转介与危机支持；</w:t>
      </w:r>
    </w:p>
    <w:p w14:paraId="42D68E08">
      <w:pPr>
        <w:pStyle w:val="14"/>
        <w:numPr>
          <w:numId w:val="9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不同来源对制度、设施、师资和外部资源的认知差异意味着什么。</w:t>
      </w:r>
    </w:p>
    <w:p w14:paraId="25DAE905">
      <w:r>
        <w:rPr>
          <w:rFonts w:ascii="Times New Roman" w:hAnsi="Times New Roman" w:eastAsia="SimSun"/>
          <w:b w:val="0"/>
          <w:color w:val="000000"/>
          <w:sz w:val="21"/>
        </w:rPr>
        <w:t>来源之间不一致时，不以多数票决定唯一事实。应分别考虑角色接触范围、信息可见度、问题措辞和材料边界。</w:t>
      </w:r>
    </w:p>
    <w:p w14:paraId="31EF94E4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八、复现等级</w:t>
      </w:r>
    </w:p>
    <w:p w14:paraId="7E647C48">
      <w:r>
        <w:rPr>
          <w:rFonts w:ascii="Times New Roman" w:hAnsi="Times New Roman" w:eastAsia="SimSun"/>
          <w:b w:val="0"/>
          <w:color w:val="000000"/>
          <w:sz w:val="21"/>
        </w:rPr>
        <w:t>为保证研究结果可核查，每项结果按照资料、处理规则与分析输出的完整程度标注以下等级之一：</w:t>
      </w:r>
    </w:p>
    <w:p w14:paraId="59E56F62">
      <w:pPr>
        <w:pStyle w:val="16"/>
      </w:pPr>
      <w:r>
        <w:rPr>
          <w:rFonts w:ascii="Times New Roman" w:hAnsi="Times New Roman" w:eastAsia="SimSun"/>
          <w:b w:val="0"/>
          <w:color w:val="000000"/>
          <w:sz w:val="21"/>
        </w:rPr>
        <w:t>A级：有逐题原始数据、清洗规则和可运行代码，可以从原始输入重新生成结果；</w:t>
      </w:r>
    </w:p>
    <w:p w14:paraId="22C02B31">
      <w:pPr>
        <w:pStyle w:val="16"/>
      </w:pPr>
      <w:r>
        <w:rPr>
          <w:rFonts w:ascii="Times New Roman" w:hAnsi="Times New Roman" w:eastAsia="SimSun"/>
          <w:b w:val="0"/>
          <w:color w:val="000000"/>
          <w:sz w:val="21"/>
        </w:rPr>
        <w:t>B级：有筛查记录、变量字典和结果明细，可以核对方法、分母、统计量及报告一致性；</w:t>
      </w:r>
    </w:p>
    <w:p w14:paraId="34524113">
      <w:pPr>
        <w:pStyle w:val="16"/>
      </w:pPr>
      <w:r>
        <w:rPr>
          <w:rFonts w:ascii="Times New Roman" w:hAnsi="Times New Roman" w:eastAsia="SimSun"/>
          <w:b w:val="0"/>
          <w:color w:val="000000"/>
          <w:sz w:val="21"/>
        </w:rPr>
        <w:t>C级：具有报告、表格和过程说明，可核对方法、统计口径与结论，但原始输入或中间处理记录不完整。</w:t>
      </w:r>
    </w:p>
    <w:p w14:paraId="58B43811">
      <w:r>
        <w:rPr>
          <w:rFonts w:ascii="Times New Roman" w:hAnsi="Times New Roman" w:eastAsia="SimSun"/>
          <w:b w:val="0"/>
          <w:color w:val="000000"/>
          <w:sz w:val="21"/>
        </w:rPr>
        <w:t>本项目按照各类资料实际保存的证据链确定核查等级，并在内部过程记录中说明资料范围。</w:t>
      </w:r>
    </w:p>
    <w:p w14:paraId="7FE38004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九、研究伦理与人文表达</w:t>
      </w:r>
    </w:p>
    <w:p w14:paraId="6A8D192C">
      <w:pPr>
        <w:pStyle w:val="14"/>
        <w:numPr>
          <w:numId w:val="10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报告不公开可识别学生、家长、教师或学校的信息。</w:t>
      </w:r>
    </w:p>
    <w:p w14:paraId="3B109B57">
      <w:pPr>
        <w:pStyle w:val="14"/>
        <w:numPr>
          <w:numId w:val="10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不把低频个案删除为“噪声”，也不把低频高风险意见夸大为群体结论。</w:t>
      </w:r>
    </w:p>
    <w:p w14:paraId="4B5E7843">
      <w:pPr>
        <w:pStyle w:val="14"/>
        <w:numPr>
          <w:numId w:val="10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不使用“问题学生”“无知家长”“教师不重视”等概括性标签。</w:t>
      </w:r>
    </w:p>
    <w:p w14:paraId="3AE47586">
      <w:pPr>
        <w:pStyle w:val="14"/>
        <w:numPr>
          <w:numId w:val="10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将网络、家庭经济、外出务工、亲子沟通等解释为受访者所处情境中的因素，不写成单一病因。</w:t>
      </w:r>
    </w:p>
    <w:p w14:paraId="307C8E74">
      <w:pPr>
        <w:pStyle w:val="14"/>
        <w:numPr>
          <w:numId w:val="10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不把资源不足简单归咎于学校和班主任；同时不因同情资源限制而弱化筛查后支持、转介和危机流程的重要性。</w:t>
      </w:r>
    </w:p>
    <w:p w14:paraId="19E98554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十、报告与排版规范</w:t>
      </w:r>
    </w:p>
    <w:p w14:paraId="4B55C491">
      <w:r>
        <w:rPr>
          <w:rFonts w:ascii="Times New Roman" w:hAnsi="Times New Roman" w:eastAsia="SimSun"/>
          <w:b w:val="0"/>
          <w:color w:val="000000"/>
          <w:sz w:val="21"/>
        </w:rPr>
        <w:t>正式文档参照《心理学报》投稿指南的科研表达规范：正文中文使用宋体，数字和英文使用Times New Roman，1.5倍行距；表格采用三线表；统计量、自由度/样本量、精确p值和效应量按适用情况报告。项目报告不是期刊投稿稿件，因此不机械添加作者、单位、中英文摘要等投稿专用部分。</w:t>
      </w:r>
    </w:p>
    <w:p w14:paraId="1F8DA391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十一、预定成果</w:t>
      </w:r>
    </w:p>
    <w:p w14:paraId="13E0ECA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总体数据分析计</w:t>
      </w:r>
      <w:bookmarkStart w:id="0" w:name="_GoBack"/>
      <w:bookmarkEnd w:id="0"/>
      <w:r>
        <w:rPr>
          <w:rFonts w:ascii="Times New Roman" w:hAnsi="Times New Roman" w:eastAsia="SimSun"/>
          <w:b w:val="0"/>
          <w:color w:val="000000"/>
          <w:sz w:val="21"/>
        </w:rPr>
        <w:t>划DOCX、PDF和Markdown；</w:t>
      </w:r>
    </w:p>
    <w:p w14:paraId="4D394F78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学生、家长、教师、访谈四份来源分析计划；</w:t>
      </w:r>
    </w:p>
    <w:p w14:paraId="05F64D45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研究问题与证据矩阵；</w:t>
      </w:r>
    </w:p>
    <w:p w14:paraId="027417C3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分析决策记录、材料缺口和复现等级记录；</w:t>
      </w:r>
    </w:p>
    <w:p w14:paraId="630DA613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后续预处理、分析和报告阶段可直接引用的统一方法说明。</w:t>
      </w:r>
    </w:p>
    <w:p w14:paraId="574722FF">
      <w:r>
        <w:rPr>
          <w:rFonts w:ascii="Times New Roman" w:hAnsi="Times New Roman" w:eastAsia="SimSun"/>
        </w:rPr>
        <w:br w:type="page"/>
      </w:r>
    </w:p>
    <w:p w14:paraId="51DD03F8">
      <w:pPr>
        <w:pStyle w:val="3"/>
      </w:pPr>
      <w:r>
        <w:rPr>
          <w:rFonts w:ascii="Times New Roman" w:hAnsi="Times New Roman" w:eastAsia="SimHei"/>
          <w:b w:val="0"/>
          <w:color w:val="000000"/>
          <w:sz w:val="28"/>
        </w:rPr>
        <w:t>学生问卷分析计划</w:t>
      </w:r>
    </w:p>
    <w:p w14:paraId="330B766F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一、资料范围</w:t>
      </w:r>
    </w:p>
    <w:p w14:paraId="3ED43248">
      <w:r>
        <w:rPr>
          <w:rFonts w:ascii="Times New Roman" w:hAnsi="Times New Roman" w:eastAsia="SimSun"/>
          <w:b w:val="0"/>
          <w:color w:val="000000"/>
          <w:sz w:val="21"/>
        </w:rPr>
        <w:t>本研究纳入99份有效学生问卷。题本包含2个5点有序封闭题和3个开放题；分析材料另含年级代码1、2、3，但代码与具体年级名称尚未确认。</w:t>
      </w:r>
    </w:p>
    <w:p w14:paraId="0E012B43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二、研究问题</w:t>
      </w:r>
    </w:p>
    <w:p w14:paraId="56037F0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学生对学校心理健康教育的了解程度和满意程度如何？</w:t>
      </w:r>
    </w:p>
    <w:p w14:paraId="1C535511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学生满意度是否整体高于了解度？</w:t>
      </w:r>
    </w:p>
    <w:p w14:paraId="234C8727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了解程度与满意程度是否相关？</w:t>
      </w:r>
    </w:p>
    <w:p w14:paraId="0651F6F1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三个年级代码组在了解度或满意度上是否存在差异？</w:t>
      </w:r>
    </w:p>
    <w:p w14:paraId="26229C1D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学生偏好的课程主题、活动形式和改进期待是什么？</w:t>
      </w:r>
    </w:p>
    <w:p w14:paraId="27ABD567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开放题需求与封闭题评价之间形成怎样的来源内部解释？</w:t>
      </w:r>
    </w:p>
    <w:p w14:paraId="115589FC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三、量化变量与分析</w:t>
      </w:r>
    </w:p>
    <w:tbl>
      <w:tblPr>
        <w:tblStyle w:val="32"/>
        <w:tblW w:w="9026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4D144B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8" w:type="dxa"/>
            <w:shd w:val="clear" w:color="auto" w:fill="FFFFFF"/>
            <w:vAlign w:val="center"/>
          </w:tcPr>
          <w:p w14:paraId="45AC4018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变量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6A9A5567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性质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D2225FD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预定处理</w:t>
            </w:r>
          </w:p>
        </w:tc>
      </w:tr>
      <w:tr w14:paraId="1E246F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144B3CE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S_GRADE</w:t>
            </w:r>
          </w:p>
        </w:tc>
        <w:tc>
          <w:tcPr>
            <w:tcW w:w="3008" w:type="dxa"/>
            <w:vAlign w:val="center"/>
          </w:tcPr>
          <w:p w14:paraId="6BA14CE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三组分类变量</w:t>
            </w:r>
          </w:p>
        </w:tc>
        <w:tc>
          <w:tcPr>
            <w:tcW w:w="3010" w:type="dxa"/>
            <w:vAlign w:val="center"/>
          </w:tcPr>
          <w:p w14:paraId="4078D5E0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保留代码1—3，不映射具体年级；报告每组n</w:t>
            </w:r>
          </w:p>
        </w:tc>
      </w:tr>
      <w:tr w14:paraId="5C27AC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11D18A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S_Q1_UNDERSTAND</w:t>
            </w:r>
          </w:p>
        </w:tc>
        <w:tc>
          <w:tcPr>
            <w:tcW w:w="3008" w:type="dxa"/>
            <w:vAlign w:val="center"/>
          </w:tcPr>
          <w:p w14:paraId="7995BF0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1—5有序变量</w:t>
            </w:r>
          </w:p>
        </w:tc>
        <w:tc>
          <w:tcPr>
            <w:tcW w:w="3010" w:type="dxa"/>
            <w:vAlign w:val="center"/>
          </w:tcPr>
          <w:p w14:paraId="59D27F15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频数、百分比、中位数、四分位距；均值和标准差作补充；4—5分比例</w:t>
            </w:r>
          </w:p>
        </w:tc>
      </w:tr>
      <w:tr w14:paraId="6229DC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6645E517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S_Q2_SATISFY</w:t>
            </w:r>
          </w:p>
        </w:tc>
        <w:tc>
          <w:tcPr>
            <w:tcW w:w="3008" w:type="dxa"/>
            <w:vAlign w:val="center"/>
          </w:tcPr>
          <w:p w14:paraId="25E8389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1—5有序变量</w:t>
            </w:r>
          </w:p>
        </w:tc>
        <w:tc>
          <w:tcPr>
            <w:tcW w:w="3010" w:type="dxa"/>
            <w:vAlign w:val="center"/>
          </w:tcPr>
          <w:p w14:paraId="0DDA07C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同上</w:t>
            </w:r>
          </w:p>
        </w:tc>
      </w:tr>
    </w:tbl>
    <w:p w14:paraId="779DEE40">
      <w:pPr>
        <w:spacing w:after="40"/>
      </w:pPr>
    </w:p>
    <w:p w14:paraId="5A164855">
      <w:r>
        <w:rPr>
          <w:rFonts w:ascii="Times New Roman" w:hAnsi="Times New Roman" w:eastAsia="SimSun"/>
          <w:b w:val="0"/>
          <w:color w:val="000000"/>
          <w:sz w:val="21"/>
        </w:rPr>
        <w:t>预定检验：</w:t>
      </w:r>
    </w:p>
    <w:p w14:paraId="4EBB1C26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Q1与Q2配对比较：Wilcoxon符号秩检验，报告秩二列相关。</w:t>
      </w:r>
    </w:p>
    <w:p w14:paraId="325825C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Q1与Q2关联：Spearman等级相关。</w:t>
      </w:r>
    </w:p>
    <w:p w14:paraId="2DA9FD7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年级代码组差异：Kruskal-Wallis检验，报告ε²；总体差异显著后进行Mann-Whitney U两两比较并用Holm法校正。</w:t>
      </w:r>
    </w:p>
    <w:p w14:paraId="6AB72641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四、开放题质性分析</w:t>
      </w:r>
    </w:p>
    <w:p w14:paraId="4EBAC3F8">
      <w:pPr>
        <w:pStyle w:val="16"/>
      </w:pPr>
      <w:r>
        <w:rPr>
          <w:rFonts w:ascii="Times New Roman" w:hAnsi="Times New Roman" w:eastAsia="SimSun"/>
          <w:b w:val="0"/>
          <w:color w:val="000000"/>
          <w:sz w:val="21"/>
        </w:rPr>
        <w:t>Q3：喜欢的课程主题；</w:t>
      </w:r>
    </w:p>
    <w:p w14:paraId="22A5BFA9">
      <w:pPr>
        <w:pStyle w:val="16"/>
      </w:pPr>
      <w:r>
        <w:rPr>
          <w:rFonts w:ascii="Times New Roman" w:hAnsi="Times New Roman" w:eastAsia="SimSun"/>
          <w:b w:val="0"/>
          <w:color w:val="000000"/>
          <w:sz w:val="21"/>
        </w:rPr>
        <w:t>Q4：喜欢的心理健康教育活动；</w:t>
      </w:r>
    </w:p>
    <w:p w14:paraId="72976CB7">
      <w:pPr>
        <w:pStyle w:val="16"/>
      </w:pPr>
      <w:r>
        <w:rPr>
          <w:rFonts w:ascii="Times New Roman" w:hAnsi="Times New Roman" w:eastAsia="SimSun"/>
          <w:b w:val="0"/>
          <w:color w:val="000000"/>
          <w:sz w:val="21"/>
        </w:rPr>
        <w:t>Q5：对学校心理健康教育的期望。</w:t>
      </w:r>
    </w:p>
    <w:p w14:paraId="754F4D41">
      <w:r>
        <w:rPr>
          <w:rFonts w:ascii="Times New Roman" w:hAnsi="Times New Roman" w:eastAsia="SimSun"/>
          <w:b w:val="0"/>
          <w:color w:val="000000"/>
          <w:sz w:val="21"/>
        </w:rPr>
        <w:t>按“学生×题目”编码，一条回答可有多个代码。主要输出包括逐条编码表、代码本、主题频次、有效/无效文本分布、代表性表达和编码员分歧记录。</w:t>
      </w:r>
    </w:p>
    <w:p w14:paraId="623951CD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五、来源内整合</w:t>
      </w:r>
    </w:p>
    <w:p w14:paraId="4FD032C3">
      <w:r>
        <w:rPr>
          <w:rFonts w:ascii="Times New Roman" w:hAnsi="Times New Roman" w:eastAsia="SimSun"/>
          <w:b w:val="0"/>
          <w:color w:val="000000"/>
          <w:sz w:val="21"/>
        </w:rPr>
        <w:t>重点比较“总体评价较积极”与“仍提出丰富内容、增强互动、个别倾听”等需求是否同时存在。满意不等同于不需要改进；无明确开放题回答也不自动解释为满意。</w:t>
      </w:r>
    </w:p>
    <w:p w14:paraId="298AC5A0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六、解释边界</w:t>
      </w:r>
    </w:p>
    <w:p w14:paraId="0BF03274">
      <w:r>
        <w:rPr>
          <w:rFonts w:ascii="Times New Roman" w:hAnsi="Times New Roman" w:eastAsia="SimSun"/>
          <w:b w:val="0"/>
          <w:color w:val="000000"/>
          <w:sz w:val="21"/>
        </w:rPr>
        <w:t>年级代码未对应实际年级前，不给出发展阶段解释。横断面相关不能说明了解度导致满意度。样本来自特定学校，不能外推全部农村或乡镇学生。</w:t>
      </w:r>
    </w:p>
    <w:p w14:paraId="0008536F">
      <w:r>
        <w:rPr>
          <w:rFonts w:ascii="Times New Roman" w:hAnsi="Times New Roman" w:eastAsia="SimSun"/>
        </w:rPr>
        <w:br w:type="page"/>
      </w:r>
    </w:p>
    <w:p w14:paraId="3B8CEA5A">
      <w:pPr>
        <w:pStyle w:val="3"/>
      </w:pPr>
      <w:r>
        <w:rPr>
          <w:rFonts w:ascii="Times New Roman" w:hAnsi="Times New Roman" w:eastAsia="SimHei"/>
          <w:b w:val="0"/>
          <w:color w:val="000000"/>
          <w:sz w:val="28"/>
        </w:rPr>
        <w:t>家长问卷分析计划</w:t>
      </w:r>
    </w:p>
    <w:p w14:paraId="0F152540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一、资料范围</w:t>
      </w:r>
    </w:p>
    <w:p w14:paraId="0E0F4F0A">
      <w:r>
        <w:rPr>
          <w:rFonts w:ascii="Times New Roman" w:hAnsi="Times New Roman" w:eastAsia="SimSun"/>
          <w:b w:val="0"/>
          <w:color w:val="000000"/>
          <w:sz w:val="21"/>
        </w:rPr>
        <w:t>家长问卷原始91份，已有筛查记录排除4份具有明确重复证据的答卷，当前有效样本87份。问卷包含有序题、条件题、参与和行动变量，以及两类文本材料。</w:t>
      </w:r>
    </w:p>
    <w:p w14:paraId="60891119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二、研究问题</w:t>
      </w:r>
    </w:p>
    <w:p w14:paraId="2451B4DA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家长对学校心理健康教育的了解度和满意度如何？</w:t>
      </w:r>
    </w:p>
    <w:p w14:paraId="6FDDC1D7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家长是否参与学校活动，参与后的体验如何？</w:t>
      </w:r>
    </w:p>
    <w:p w14:paraId="7B09F20B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家长对子女心理健康的重视程度是否高于自身心理健康知识水平？</w:t>
      </w:r>
    </w:p>
    <w:p w14:paraId="6045765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活动参与与了解度、满意度及校外行动是否相关？</w:t>
      </w:r>
    </w:p>
    <w:p w14:paraId="614124A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主动寻求学校外支持的家长是否具有不同的知识或重视水平？</w:t>
      </w:r>
    </w:p>
    <w:p w14:paraId="5A3D5CDF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家长具体使用了哪些校外支持方式？</w:t>
      </w:r>
    </w:p>
    <w:p w14:paraId="4CE71498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家长希望学校补足哪些课程、服务、沟通和个体支持？</w:t>
      </w:r>
    </w:p>
    <w:p w14:paraId="01F2DF66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三、量化变量与分析</w:t>
      </w:r>
    </w:p>
    <w:tbl>
      <w:tblPr>
        <w:tblStyle w:val="32"/>
        <w:tblW w:w="9026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13CBB3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8" w:type="dxa"/>
            <w:shd w:val="clear" w:color="auto" w:fill="FFFFFF"/>
            <w:vAlign w:val="center"/>
          </w:tcPr>
          <w:p w14:paraId="61209814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变量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2EAF7EF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性质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8F5BC24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预定处理</w:t>
            </w:r>
          </w:p>
        </w:tc>
      </w:tr>
      <w:tr w14:paraId="4FC3AF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EE26863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P_Q1_SCHOOL_UNDERSTAND</w:t>
            </w:r>
          </w:p>
        </w:tc>
        <w:tc>
          <w:tcPr>
            <w:tcW w:w="3008" w:type="dxa"/>
            <w:vAlign w:val="center"/>
          </w:tcPr>
          <w:p w14:paraId="0FB2AD6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1—5有序</w:t>
            </w:r>
          </w:p>
        </w:tc>
        <w:tc>
          <w:tcPr>
            <w:tcW w:w="3010" w:type="dxa"/>
            <w:vAlign w:val="center"/>
          </w:tcPr>
          <w:p w14:paraId="0B90F288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分布、中位数、四分位距、补充均值/标准差、4—5分比例</w:t>
            </w:r>
          </w:p>
        </w:tc>
      </w:tr>
      <w:tr w14:paraId="3DF00A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1234484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P_Q2_SATISFY</w:t>
            </w:r>
          </w:p>
        </w:tc>
        <w:tc>
          <w:tcPr>
            <w:tcW w:w="3008" w:type="dxa"/>
            <w:vAlign w:val="center"/>
          </w:tcPr>
          <w:p w14:paraId="06C29AE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1—5有序</w:t>
            </w:r>
          </w:p>
        </w:tc>
        <w:tc>
          <w:tcPr>
            <w:tcW w:w="3010" w:type="dxa"/>
            <w:vAlign w:val="center"/>
          </w:tcPr>
          <w:p w14:paraId="50ADA31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同上</w:t>
            </w:r>
          </w:p>
        </w:tc>
      </w:tr>
      <w:tr w14:paraId="4A22BF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D727CD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P_Q3_PARTICIPATE</w:t>
            </w:r>
          </w:p>
        </w:tc>
        <w:tc>
          <w:tcPr>
            <w:tcW w:w="3008" w:type="dxa"/>
            <w:vAlign w:val="center"/>
          </w:tcPr>
          <w:p w14:paraId="47A6DF2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三水平有序</w:t>
            </w:r>
          </w:p>
        </w:tc>
        <w:tc>
          <w:tcPr>
            <w:tcW w:w="3010" w:type="dxa"/>
            <w:vAlign w:val="center"/>
          </w:tcPr>
          <w:p w14:paraId="13C4DA3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保留原分布；派生0=从未、1=偶尔、2=经常</w:t>
            </w:r>
          </w:p>
        </w:tc>
      </w:tr>
      <w:tr w14:paraId="18EC76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6856E3B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P_Q4_ACTIVITY_FEEL</w:t>
            </w:r>
          </w:p>
        </w:tc>
        <w:tc>
          <w:tcPr>
            <w:tcW w:w="3008" w:type="dxa"/>
            <w:vAlign w:val="center"/>
          </w:tcPr>
          <w:p w14:paraId="5E56EB0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条件有序题</w:t>
            </w:r>
          </w:p>
        </w:tc>
        <w:tc>
          <w:tcPr>
            <w:tcW w:w="3010" w:type="dxa"/>
            <w:vAlign w:val="center"/>
          </w:tcPr>
          <w:p w14:paraId="70D8F558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仅对实际参与且逻辑一致者分析；明确有效分母</w:t>
            </w:r>
          </w:p>
        </w:tc>
      </w:tr>
      <w:tr w14:paraId="393006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4D44504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P_Q5_MH_KNOWLEDGE</w:t>
            </w:r>
          </w:p>
        </w:tc>
        <w:tc>
          <w:tcPr>
            <w:tcW w:w="3008" w:type="dxa"/>
            <w:vAlign w:val="center"/>
          </w:tcPr>
          <w:p w14:paraId="6D6338D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1—5有序</w:t>
            </w:r>
          </w:p>
        </w:tc>
        <w:tc>
          <w:tcPr>
            <w:tcW w:w="3010" w:type="dxa"/>
            <w:vAlign w:val="center"/>
          </w:tcPr>
          <w:p w14:paraId="0EEFA9B6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分布及与重视、行动的关系</w:t>
            </w:r>
          </w:p>
        </w:tc>
      </w:tr>
      <w:tr w14:paraId="57C441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2E0A586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P_Q6_CHILD_IMPORTANCE</w:t>
            </w:r>
          </w:p>
        </w:tc>
        <w:tc>
          <w:tcPr>
            <w:tcW w:w="3008" w:type="dxa"/>
            <w:vAlign w:val="center"/>
          </w:tcPr>
          <w:p w14:paraId="2410CF19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1—5有序</w:t>
            </w:r>
          </w:p>
        </w:tc>
        <w:tc>
          <w:tcPr>
            <w:tcW w:w="3010" w:type="dxa"/>
            <w:vAlign w:val="center"/>
          </w:tcPr>
          <w:p w14:paraId="051ACCC3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分布及与知识、行动的关系</w:t>
            </w:r>
          </w:p>
        </w:tc>
      </w:tr>
      <w:tr w14:paraId="386F06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8" w:type="dxa"/>
            <w:vAlign w:val="center"/>
          </w:tcPr>
          <w:p w14:paraId="52692BB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P_Q7_EXTERNAL_SUPPORT_BIN</w:t>
            </w:r>
          </w:p>
        </w:tc>
        <w:tc>
          <w:tcPr>
            <w:tcW w:w="3008" w:type="dxa"/>
            <w:vAlign w:val="center"/>
          </w:tcPr>
          <w:p w14:paraId="674A984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二元</w:t>
            </w:r>
          </w:p>
        </w:tc>
        <w:tc>
          <w:tcPr>
            <w:tcW w:w="3010" w:type="dxa"/>
            <w:vAlign w:val="center"/>
          </w:tcPr>
          <w:p w14:paraId="6D4758F5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0=否、1=是；报告频数和比例</w:t>
            </w:r>
          </w:p>
        </w:tc>
      </w:tr>
    </w:tbl>
    <w:p w14:paraId="5FE078B5">
      <w:pPr>
        <w:spacing w:after="40"/>
      </w:pPr>
    </w:p>
    <w:p w14:paraId="4704F3FA">
      <w:r>
        <w:rPr>
          <w:rFonts w:ascii="Times New Roman" w:hAnsi="Times New Roman" w:eastAsia="SimSun"/>
          <w:b w:val="0"/>
          <w:color w:val="000000"/>
          <w:sz w:val="21"/>
        </w:rPr>
        <w:t>预定检验：</w:t>
      </w:r>
    </w:p>
    <w:p w14:paraId="5A9865B9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满意度与了解度：配对Wilcoxon检验及Spearman相关。</w:t>
      </w:r>
    </w:p>
    <w:p w14:paraId="25ECC282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重视程度与知识水平：配对Wilcoxon检验及Spearman相关。</w:t>
      </w:r>
    </w:p>
    <w:p w14:paraId="2D6AB9AF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参与程度与了解度、满意度：Spearman相关；参与过与从未参与组使用Mann-Whitney U检验。</w:t>
      </w:r>
    </w:p>
    <w:p w14:paraId="7E3B8E6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是否寻求校外支持与知识、重视：Mann-Whitney U检验。</w:t>
      </w:r>
    </w:p>
    <w:p w14:paraId="552CF4A0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是否参与学校活动与是否寻求校外支持：Fisher精确检验并报告优势比。</w:t>
      </w:r>
    </w:p>
    <w:p w14:paraId="221D4FDB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同一组分组比较采用Holm校正。</w:t>
      </w:r>
    </w:p>
    <w:p w14:paraId="0E5F011B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四、文本质性分析</w:t>
      </w:r>
    </w:p>
    <w:p w14:paraId="6000A26F">
      <w:r>
        <w:rPr>
          <w:rFonts w:ascii="Times New Roman" w:hAnsi="Times New Roman" w:eastAsia="SimSun"/>
          <w:b w:val="0"/>
          <w:color w:val="000000"/>
          <w:sz w:val="21"/>
        </w:rPr>
        <w:t>正式分析纳入两个文本字段：</w:t>
      </w:r>
    </w:p>
    <w:p w14:paraId="43539505">
      <w:pPr>
        <w:pStyle w:val="14"/>
        <w:numPr>
          <w:numId w:val="11"/>
        </w:numPr>
      </w:pPr>
      <w:r>
        <w:rPr>
          <w:rFonts w:ascii="Times New Roman" w:hAnsi="Times New Roman" w:eastAsia="SimSun"/>
          <w:color w:val="000000"/>
          <w:sz w:val="20"/>
        </w:rPr>
        <w:t>P_Q7_EXTERNAL_SUPPORT_TEXT</w:t>
      </w:r>
      <w:r>
        <w:rPr>
          <w:rFonts w:ascii="Times New Roman" w:hAnsi="Times New Roman" w:eastAsia="SimSun"/>
          <w:b w:val="0"/>
          <w:color w:val="000000"/>
          <w:sz w:val="21"/>
        </w:rPr>
        <w:t>：选择“是”后填写的具体支持方式；</w:t>
      </w:r>
    </w:p>
    <w:p w14:paraId="6C82ECDE">
      <w:pPr>
        <w:pStyle w:val="14"/>
        <w:numPr>
          <w:numId w:val="11"/>
        </w:numPr>
      </w:pPr>
      <w:r>
        <w:rPr>
          <w:rFonts w:ascii="Times New Roman" w:hAnsi="Times New Roman" w:eastAsia="SimSun"/>
          <w:color w:val="000000"/>
          <w:sz w:val="20"/>
        </w:rPr>
        <w:t>P_Q8_SUGGEST_TEXT</w:t>
      </w:r>
      <w:r>
        <w:rPr>
          <w:rFonts w:ascii="Times New Roman" w:hAnsi="Times New Roman" w:eastAsia="SimSun"/>
          <w:b w:val="0"/>
          <w:color w:val="000000"/>
          <w:sz w:val="21"/>
        </w:rPr>
        <w:t>：对学校心理健康教育建设的建议。</w:t>
      </w:r>
    </w:p>
    <w:p w14:paraId="6249BFCB">
      <w:r>
        <w:rPr>
          <w:rFonts w:ascii="Times New Roman" w:hAnsi="Times New Roman" w:eastAsia="SimSun"/>
          <w:b w:val="0"/>
          <w:color w:val="000000"/>
          <w:sz w:val="21"/>
        </w:rPr>
        <w:t>Q7文本用于识别家长实际连接的资源类型，如亲子沟通、阅读课程、医疗/咨询、社会活动或其他支持；Q8用于归纳对学校课程、活动、专业服务、家校沟通和特殊群体支持的期待。P052等质量标记文本保留原记录，但不进入主题频次时需说明理由。</w:t>
      </w:r>
    </w:p>
    <w:p w14:paraId="497B505D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五、来源内整合</w:t>
      </w:r>
    </w:p>
    <w:p w14:paraId="2EC1C85B">
      <w:r>
        <w:rPr>
          <w:rFonts w:ascii="Times New Roman" w:hAnsi="Times New Roman" w:eastAsia="SimSun"/>
          <w:b w:val="0"/>
          <w:color w:val="000000"/>
          <w:sz w:val="21"/>
        </w:rPr>
        <w:t>比较“高重视”与“知识/行动是否跟上”，以及“参与学校活动”与“具体使用何种校外资源”。无实质建议不能单向解释为完全满意，也可能反映不了解可提出什么要求。</w:t>
      </w:r>
    </w:p>
    <w:p w14:paraId="30891A34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六、解释边界</w:t>
      </w:r>
    </w:p>
    <w:p w14:paraId="6D20B34F">
      <w:r>
        <w:rPr>
          <w:rFonts w:ascii="Times New Roman" w:hAnsi="Times New Roman" w:eastAsia="SimSun"/>
          <w:b w:val="0"/>
          <w:color w:val="000000"/>
          <w:sz w:val="21"/>
        </w:rPr>
        <w:t>家长参与与积极评价之间存在自我选择的可能。横断面数据不能证明学校活动提升了满意度或导致校外求助。样本不能代表所有家长。</w:t>
      </w:r>
    </w:p>
    <w:p w14:paraId="5F1ED34F">
      <w:r>
        <w:rPr>
          <w:rFonts w:ascii="Times New Roman" w:hAnsi="Times New Roman" w:eastAsia="SimSun"/>
        </w:rPr>
        <w:br w:type="page"/>
      </w:r>
    </w:p>
    <w:p w14:paraId="7EBC2B76">
      <w:pPr>
        <w:pStyle w:val="3"/>
      </w:pPr>
      <w:r>
        <w:rPr>
          <w:rFonts w:ascii="Times New Roman" w:hAnsi="Times New Roman" w:eastAsia="SimHei"/>
          <w:b w:val="0"/>
          <w:color w:val="000000"/>
          <w:sz w:val="28"/>
        </w:rPr>
        <w:t>教师问卷分析计划</w:t>
      </w:r>
    </w:p>
    <w:p w14:paraId="41D6992F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一、资料范围</w:t>
      </w:r>
    </w:p>
    <w:p w14:paraId="73303C55">
      <w:r>
        <w:rPr>
          <w:rFonts w:ascii="Times New Roman" w:hAnsi="Times New Roman" w:eastAsia="SimSun"/>
          <w:b w:val="0"/>
          <w:color w:val="000000"/>
          <w:sz w:val="21"/>
        </w:rPr>
        <w:t>本研究纳入17份有效教师问卷，题目覆盖T_Q01—T_Q53。问卷主要测量教师背景、对同一学校制度和工作现状的认知，并非单一心理量表。</w:t>
      </w:r>
    </w:p>
    <w:p w14:paraId="021550CA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二、研究问题</w:t>
      </w:r>
    </w:p>
    <w:p w14:paraId="5D828F78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教师样本具有怎样的经验和任教学科背景？</w:t>
      </w:r>
    </w:p>
    <w:p w14:paraId="41A937A6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教师如何认识学校的设施、制度、经费和领导支持？</w:t>
      </w:r>
    </w:p>
    <w:p w14:paraId="4D69D1C6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心理教师配置、专业背景、资质和培训支持是否清晰？</w:t>
      </w:r>
    </w:p>
    <w:p w14:paraId="4B303E34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课程开设、课程研发、教材、内容和学生参与情况如何？</w:t>
      </w:r>
    </w:p>
    <w:p w14:paraId="0909066A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辅导、筛查、档案、转介和危机干预是否构成连续工作链？</w:t>
      </w:r>
    </w:p>
    <w:p w14:paraId="377AA81F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心理辅导工作是否获得课时和组织保障？</w:t>
      </w:r>
    </w:p>
    <w:p w14:paraId="70854990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家庭、社区、医院及社会资源如何参与？</w:t>
      </w:r>
    </w:p>
    <w:p w14:paraId="50532AB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教师补充文本揭示了哪些无法由封闭选项表达的制度细节？</w:t>
      </w:r>
    </w:p>
    <w:p w14:paraId="1C62D4C2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三、量化分析策略</w:t>
      </w:r>
    </w:p>
    <w:p w14:paraId="42D208EF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以频数、百分比、范围、中位数和有序分布为主。</w:t>
      </w:r>
    </w:p>
    <w:p w14:paraId="17F193EA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多选题按每个选项的提及人数和占适用样本比例报告。</w:t>
      </w:r>
    </w:p>
    <w:p w14:paraId="5E6274A3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“不清楚”作为具有实质意义的类别单独报告，不直接并入缺失。</w:t>
      </w:r>
    </w:p>
    <w:p w14:paraId="485D539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选择“学校没有心理健康教育教师”者，其Q15—Q19按结构性缺失处理。</w:t>
      </w:r>
    </w:p>
    <w:p w14:paraId="021BBBCA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同一学校教师对经费、师资、制度或转介的回答不一致时，报告“教师认知分布”，不以多数票认定唯一事实。</w:t>
      </w:r>
    </w:p>
    <w:p w14:paraId="6AD7AF28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不进行因子分析、整体信度分析，不构造总体质量分数。</w:t>
      </w:r>
    </w:p>
    <w:p w14:paraId="33721C2D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除非存在清晰、预先限定且统计条件充分的问题，否则不增加小样本推断检验。</w:t>
      </w:r>
    </w:p>
    <w:p w14:paraId="09CD4239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四、质性文本字段</w:t>
      </w:r>
    </w:p>
    <w:p w14:paraId="3FF670A2">
      <w:r>
        <w:rPr>
          <w:rFonts w:ascii="Times New Roman" w:hAnsi="Times New Roman" w:eastAsia="SimSun"/>
          <w:b w:val="0"/>
          <w:color w:val="000000"/>
          <w:sz w:val="21"/>
        </w:rPr>
        <w:t>逐项盘点以下内容：任教学科“其他”、证书名称、课程频率“其他”、课程主题和形式“其他”、教材版本、心理辅导时间“其他”、课时计算标准、活动主题/频率/时长补充、危机干预流程及其他措施。</w:t>
      </w:r>
    </w:p>
    <w:p w14:paraId="663FE3C0">
      <w:r>
        <w:rPr>
          <w:rFonts w:ascii="Times New Roman" w:hAnsi="Times New Roman" w:eastAsia="SimSun"/>
          <w:b w:val="0"/>
          <w:color w:val="000000"/>
          <w:sz w:val="21"/>
        </w:rPr>
        <w:t>处理步骤：</w:t>
      </w:r>
    </w:p>
    <w:p w14:paraId="4AA78C5B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从原始字段提取文本，不把空填解释为“否”；</w:t>
      </w:r>
    </w:p>
    <w:p w14:paraId="13FA8F67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按题目情境分别建立初始代码，避免把不同题目的“其他”混成同一文本池；</w:t>
      </w:r>
    </w:p>
    <w:p w14:paraId="52DB39B5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归纳资源、流程、课程、工作保障和协同等范畴；</w:t>
      </w:r>
    </w:p>
    <w:p w14:paraId="7EF9447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与对应封闭题分布对照，检查文本是否解释“不清楚”或回答分歧；</w:t>
      </w:r>
    </w:p>
    <w:p w14:paraId="2BE74275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保留低频但涉及危机流程、转介和职责边界的内容。</w:t>
      </w:r>
    </w:p>
    <w:p w14:paraId="0D521C7E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五、题本限制</w:t>
      </w:r>
    </w:p>
    <w:p w14:paraId="33BC45E9">
      <w:r>
        <w:rPr>
          <w:rFonts w:ascii="Times New Roman" w:hAnsi="Times New Roman" w:eastAsia="SimSun"/>
          <w:b w:val="0"/>
          <w:color w:val="000000"/>
          <w:sz w:val="21"/>
        </w:rPr>
        <w:t>T_Q42存在重复选项编号，按文字和原始列顺序识别；T_Q44题干不完整；T_Q26含草稿性表述；T_Q36需要反向计分。这些问题作为施测限制记录，不改写原问卷，也不把修订后的理想题意强加给受访者。</w:t>
      </w:r>
    </w:p>
    <w:p w14:paraId="52112966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六、解释边界</w:t>
      </w:r>
    </w:p>
    <w:p w14:paraId="1A6E8336">
      <w:r>
        <w:rPr>
          <w:rFonts w:ascii="Times New Roman" w:hAnsi="Times New Roman" w:eastAsia="SimSun"/>
          <w:b w:val="0"/>
          <w:color w:val="000000"/>
          <w:sz w:val="21"/>
        </w:rPr>
        <w:t>17名教师均来自同一学校，统计结果反映该组教师的报告和信息可见度，不能代表全部教师或学校客观制度。教师不知道某项制度，不等同于制度必然不存在；反之，少数教师确认存在也不足以证明制度已经普遍落实。</w:t>
      </w:r>
    </w:p>
    <w:p w14:paraId="6FC7E0BF">
      <w:r>
        <w:rPr>
          <w:rFonts w:ascii="Times New Roman" w:hAnsi="Times New Roman" w:eastAsia="SimSun"/>
        </w:rPr>
        <w:br w:type="page"/>
      </w:r>
    </w:p>
    <w:p w14:paraId="137A76D7">
      <w:pPr>
        <w:pStyle w:val="3"/>
      </w:pPr>
      <w:r>
        <w:rPr>
          <w:rFonts w:ascii="Times New Roman" w:hAnsi="Times New Roman" w:eastAsia="SimHei"/>
          <w:b w:val="0"/>
          <w:color w:val="000000"/>
          <w:sz w:val="28"/>
        </w:rPr>
        <w:t>学校负责人访谈分析计划</w:t>
      </w:r>
    </w:p>
    <w:p w14:paraId="5EA93800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一、分析目标</w:t>
      </w:r>
    </w:p>
    <w:p w14:paraId="79E3D17D">
      <w:r>
        <w:rPr>
          <w:rFonts w:ascii="Times New Roman" w:hAnsi="Times New Roman" w:eastAsia="SimSun"/>
          <w:b w:val="0"/>
          <w:color w:val="000000"/>
          <w:sz w:val="21"/>
        </w:rPr>
        <w:t>理解学校心理健康教育的现实运行方式、既有基础、主要困难、资源条件、校内协同及学校可承担的支持边界，并为问卷中出现的制度认知差异和需求提供情境解释。</w:t>
      </w:r>
    </w:p>
    <w:p w14:paraId="11A812F2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二、分析材料</w:t>
      </w:r>
    </w:p>
    <w:p w14:paraId="1ACE244D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原始访谈前提纲：8项预设问题；</w:t>
      </w:r>
    </w:p>
    <w:p w14:paraId="61E90F10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访谈实施提纲：按照访谈中的实际提问与追问顺序整理；</w:t>
      </w:r>
    </w:p>
    <w:p w14:paraId="013B9681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访谈校订稿：非逐字稿，含大致时间和发言人；</w:t>
      </w:r>
    </w:p>
    <w:p w14:paraId="514B4E3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逐段编码、代码本、范畴和主题；</w:t>
      </w:r>
    </w:p>
    <w:p w14:paraId="2A04C083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编码员2的独立编码结果；</w:t>
      </w:r>
    </w:p>
    <w:p w14:paraId="7F3C143D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原始录音和原始转写若未来获得，仅用于核对，不覆盖已保存版本。</w:t>
      </w:r>
    </w:p>
    <w:p w14:paraId="7014B892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三、研究问题</w:t>
      </w:r>
    </w:p>
    <w:p w14:paraId="1B98249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学校当前如何使用心理辅导室、心理档案和线上心理测评？</w:t>
      </w:r>
    </w:p>
    <w:p w14:paraId="5F30815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学生日常问题主要由谁识别、谈话和处置？</w:t>
      </w:r>
    </w:p>
    <w:p w14:paraId="4444D8E6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重点关注学生的处置、转介和危机支持是否清晰？</w:t>
      </w:r>
    </w:p>
    <w:p w14:paraId="1B9664FE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安心课、黑板报、讲座等课程和科普形式如何运行？</w:t>
      </w:r>
    </w:p>
    <w:p w14:paraId="5A6CBC6F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经费、专兼职师资和外部专业资源有哪些现实限制？</w:t>
      </w:r>
    </w:p>
    <w:p w14:paraId="557737BD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班主任、德育人员、家庭和上级部门怎样协同？</w:t>
      </w:r>
    </w:p>
    <w:p w14:paraId="01CF7ED0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网络使用、家庭陪伴和经济压力在受访者经验中如何影响学校工作？</w:t>
      </w:r>
    </w:p>
    <w:p w14:paraId="41161A94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学校责任增长与专业支持不足之间形成怎样的张力？</w:t>
      </w:r>
    </w:p>
    <w:p w14:paraId="3577D2FB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四、编码与主题形成</w:t>
      </w:r>
    </w:p>
    <w:p w14:paraId="300763EC">
      <w:r>
        <w:rPr>
          <w:rFonts w:ascii="Times New Roman" w:hAnsi="Times New Roman" w:eastAsia="SimSun"/>
          <w:b w:val="0"/>
          <w:color w:val="000000"/>
          <w:sz w:val="21"/>
        </w:rPr>
        <w:t>以受访者一段表达完整含义的回答为意义单元。校订稿划分为29个意义单元，并依据语义完整性核对单元边界，不为增加数量而随意切分。</w:t>
      </w:r>
    </w:p>
    <w:p w14:paraId="0125AB9D">
      <w:r>
        <w:rPr>
          <w:rFonts w:ascii="Times New Roman" w:hAnsi="Times New Roman" w:eastAsia="SimSun"/>
          <w:b w:val="0"/>
          <w:color w:val="000000"/>
          <w:sz w:val="21"/>
        </w:rPr>
        <w:t>分析步骤：</w:t>
      </w:r>
    </w:p>
    <w:p w14:paraId="7D4BCB59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熟悉校订稿并记录情境和初步备忘录；</w:t>
      </w:r>
    </w:p>
    <w:p w14:paraId="2752C689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对意义单元进行贴近文本的初始编码；</w:t>
      </w:r>
    </w:p>
    <w:p w14:paraId="2FB3CECD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将相近代码归入设施与制度、日常识别与处置、课程科普、师资资源、协同、家庭情境和学校边界等范畴；</w:t>
      </w:r>
    </w:p>
    <w:p w14:paraId="581D8662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形成能够回答研究问题的主题；</w:t>
      </w:r>
    </w:p>
    <w:p w14:paraId="35162C2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回到原文检查每个主题的证据、反例和边界；</w:t>
      </w:r>
    </w:p>
    <w:p w14:paraId="26E3F11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与教师、学生和家长问卷进行后续证据对照。</w:t>
      </w:r>
    </w:p>
    <w:p w14:paraId="17CCDC05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五、编码质量控制</w:t>
      </w:r>
    </w:p>
    <w:p w14:paraId="2F9C9DF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保留意义单元ID、时间、原文摘录、初始代码、范畴、主题和备忘录的完整链条。</w:t>
      </w:r>
    </w:p>
    <w:p w14:paraId="56493243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编码员1与编码员2先分别完成独立编码，再对齐代码本和分析单位；仅在满足可比条件时计算适合的协议指标。</w:t>
      </w:r>
    </w:p>
    <w:p w14:paraId="201A99AC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对分歧保留双方原始标签、分歧类型、协商理由和最终决定。</w:t>
      </w:r>
    </w:p>
    <w:p w14:paraId="5E00E964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检查支持主题的材料，同时检查矛盾、例外和无法归类的表达。</w:t>
      </w:r>
    </w:p>
    <w:p w14:paraId="77A47E83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明确研究者具有心理学专业和实践项目背景，分析备忘录记录可能的专业期待与价值判断。</w:t>
      </w:r>
    </w:p>
    <w:p w14:paraId="07C117D6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六、辅助可视化</w:t>
      </w:r>
    </w:p>
    <w:p w14:paraId="37E96465">
      <w:r>
        <w:rPr>
          <w:rFonts w:ascii="Times New Roman" w:hAnsi="Times New Roman" w:eastAsia="SimSun"/>
          <w:b w:val="0"/>
          <w:color w:val="000000"/>
          <w:sz w:val="21"/>
        </w:rPr>
        <w:t>完成正式编码后制作代码—范畴—主题结构图，用于展示主题之间的联系和分析路径。</w:t>
      </w:r>
    </w:p>
    <w:p w14:paraId="2BB6DA4D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七、解释边界</w:t>
      </w:r>
    </w:p>
    <w:p w14:paraId="47F1EEB6">
      <w:r>
        <w:rPr>
          <w:rFonts w:ascii="Times New Roman" w:hAnsi="Times New Roman" w:eastAsia="SimSun"/>
          <w:b w:val="0"/>
          <w:color w:val="000000"/>
          <w:sz w:val="21"/>
        </w:rPr>
        <w:t>该访谈仅代表一名学校负责人的案例性视角。网络、家庭压力和学生行为之间的关系属于受访者经验判断，不能写成已证实因果。校订稿不是逐字稿，引用时须标明其性质。学校资源有限不能自动说明“不重视”，已有普查和教育活动也不能替代清晰的复核、转介和危机支持。</w:t>
      </w:r>
    </w:p>
    <w:p w14:paraId="5B3BB6B8">
      <w:pPr>
        <w:sectPr>
          <w:headerReference r:id="rId5" w:type="default"/>
          <w:footerReference r:id="rId6" w:type="default"/>
          <w:pgSz w:w="11906" w:h="16838"/>
          <w:pgMar w:top="1440" w:right="1440" w:bottom="1440" w:left="1440" w:header="709" w:footer="709" w:gutter="0"/>
          <w:cols w:space="720" w:num="1"/>
          <w:docGrid w:linePitch="360" w:charSpace="0"/>
        </w:sectPr>
      </w:pPr>
    </w:p>
    <w:p w14:paraId="701D29A2">
      <w:pPr>
        <w:pStyle w:val="3"/>
      </w:pPr>
      <w:r>
        <w:rPr>
          <w:rFonts w:ascii="Times New Roman" w:hAnsi="Times New Roman" w:eastAsia="SimHei"/>
          <w:b w:val="0"/>
          <w:color w:val="000000"/>
          <w:sz w:val="28"/>
        </w:rPr>
        <w:t>研究问题与证据矩阵</w:t>
      </w:r>
    </w:p>
    <w:tbl>
      <w:tblPr>
        <w:tblStyle w:val="32"/>
        <w:tblW w:w="4998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319"/>
        <w:gridCol w:w="1320"/>
        <w:gridCol w:w="1320"/>
        <w:gridCol w:w="1320"/>
        <w:gridCol w:w="1320"/>
        <w:gridCol w:w="1320"/>
      </w:tblGrid>
      <w:tr w14:paraId="08E9CC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4" w:type="pct"/>
            <w:shd w:val="clear" w:color="auto" w:fill="FFFFFF"/>
            <w:vAlign w:val="center"/>
          </w:tcPr>
          <w:p w14:paraId="2FABFBD4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编号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6ABF8A3F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实质问题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63A62C86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学生证据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1A9B51AF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家长证据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48D9BE2B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教师证据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0D767389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访谈证据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52E161B6">
            <w:pPr>
              <w:pStyle w:val="164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主要分析</w:t>
            </w:r>
          </w:p>
        </w:tc>
      </w:tr>
      <w:tr w14:paraId="758390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4120A3FD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RQ1</w:t>
            </w:r>
          </w:p>
        </w:tc>
        <w:tc>
          <w:tcPr>
            <w:tcW w:w="714" w:type="pct"/>
            <w:vAlign w:val="center"/>
          </w:tcPr>
          <w:p w14:paraId="355059A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学校心理健康教育是否被看见并认可？</w:t>
            </w:r>
          </w:p>
        </w:tc>
        <w:tc>
          <w:tcPr>
            <w:tcW w:w="714" w:type="pct"/>
            <w:vAlign w:val="center"/>
          </w:tcPr>
          <w:p w14:paraId="2CFF5C97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Q1、Q2及相关开放期待</w:t>
            </w:r>
          </w:p>
        </w:tc>
        <w:tc>
          <w:tcPr>
            <w:tcW w:w="714" w:type="pct"/>
            <w:vAlign w:val="center"/>
          </w:tcPr>
          <w:p w14:paraId="12B29D9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Q1、Q2、Q8</w:t>
            </w:r>
          </w:p>
        </w:tc>
        <w:tc>
          <w:tcPr>
            <w:tcW w:w="714" w:type="pct"/>
            <w:vAlign w:val="center"/>
          </w:tcPr>
          <w:p w14:paraId="255579D3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Q13、Q25—Q28及补充文本</w:t>
            </w:r>
          </w:p>
        </w:tc>
        <w:tc>
          <w:tcPr>
            <w:tcW w:w="714" w:type="pct"/>
            <w:vAlign w:val="center"/>
          </w:tcPr>
          <w:p w14:paraId="116C1EF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安心课、黑板报、讲座和日常工作</w:t>
            </w:r>
          </w:p>
        </w:tc>
        <w:tc>
          <w:tcPr>
            <w:tcW w:w="714" w:type="pct"/>
            <w:vAlign w:val="center"/>
          </w:tcPr>
          <w:p w14:paraId="480E8163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分布、配对比较、相关、来源间对照</w:t>
            </w:r>
          </w:p>
        </w:tc>
      </w:tr>
      <w:tr w14:paraId="682F29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367DAD5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RQ2</w:t>
            </w:r>
          </w:p>
        </w:tc>
        <w:tc>
          <w:tcPr>
            <w:tcW w:w="714" w:type="pct"/>
            <w:vAlign w:val="center"/>
          </w:tcPr>
          <w:p w14:paraId="192AF916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家长是否参与，参与后的体验和行动资源如何？</w:t>
            </w:r>
          </w:p>
        </w:tc>
        <w:tc>
          <w:tcPr>
            <w:tcW w:w="714" w:type="pct"/>
            <w:vAlign w:val="center"/>
          </w:tcPr>
          <w:p w14:paraId="40A4C5A5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学生对活动形式和沟通的期待</w:t>
            </w:r>
          </w:p>
        </w:tc>
        <w:tc>
          <w:tcPr>
            <w:tcW w:w="714" w:type="pct"/>
            <w:vAlign w:val="center"/>
          </w:tcPr>
          <w:p w14:paraId="19C42FB7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Q3、Q4、Q7封闭及文本、Q8</w:t>
            </w:r>
          </w:p>
        </w:tc>
        <w:tc>
          <w:tcPr>
            <w:tcW w:w="714" w:type="pct"/>
            <w:vAlign w:val="center"/>
          </w:tcPr>
          <w:p w14:paraId="115E34FA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Q50—Q53及相关填答</w:t>
            </w:r>
          </w:p>
        </w:tc>
        <w:tc>
          <w:tcPr>
            <w:tcW w:w="714" w:type="pct"/>
            <w:vAlign w:val="center"/>
          </w:tcPr>
          <w:p w14:paraId="51CAF116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家长联系、家庭支持与学校边界</w:t>
            </w:r>
          </w:p>
        </w:tc>
        <w:tc>
          <w:tcPr>
            <w:tcW w:w="714" w:type="pct"/>
            <w:vAlign w:val="center"/>
          </w:tcPr>
          <w:p w14:paraId="455C30B3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参与分布、组间比较、Fisher检验、文本主题</w:t>
            </w:r>
          </w:p>
        </w:tc>
      </w:tr>
      <w:tr w14:paraId="08B371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046BF8A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RQ3</w:t>
            </w:r>
          </w:p>
        </w:tc>
        <w:tc>
          <w:tcPr>
            <w:tcW w:w="714" w:type="pct"/>
            <w:vAlign w:val="center"/>
          </w:tcPr>
          <w:p w14:paraId="294B2CE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学生偏好的内容形式与学校供给是否吻合？</w:t>
            </w:r>
          </w:p>
        </w:tc>
        <w:tc>
          <w:tcPr>
            <w:tcW w:w="714" w:type="pct"/>
            <w:vAlign w:val="center"/>
          </w:tcPr>
          <w:p w14:paraId="190968C8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Q3—Q5</w:t>
            </w:r>
          </w:p>
        </w:tc>
        <w:tc>
          <w:tcPr>
            <w:tcW w:w="714" w:type="pct"/>
            <w:vAlign w:val="center"/>
          </w:tcPr>
          <w:p w14:paraId="1E9B718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Q8</w:t>
            </w:r>
          </w:p>
        </w:tc>
        <w:tc>
          <w:tcPr>
            <w:tcW w:w="714" w:type="pct"/>
            <w:vAlign w:val="center"/>
          </w:tcPr>
          <w:p w14:paraId="1BC520FA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Q29、Q32、Q33、Q45及“其他”</w:t>
            </w:r>
          </w:p>
        </w:tc>
        <w:tc>
          <w:tcPr>
            <w:tcW w:w="714" w:type="pct"/>
            <w:vAlign w:val="center"/>
          </w:tcPr>
          <w:p w14:paraId="0CF4D94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安心课、科普和讲座</w:t>
            </w:r>
          </w:p>
        </w:tc>
        <w:tc>
          <w:tcPr>
            <w:tcW w:w="714" w:type="pct"/>
            <w:vAlign w:val="center"/>
          </w:tcPr>
          <w:p w14:paraId="70097A7F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多标签主题频次、供需对照</w:t>
            </w:r>
          </w:p>
        </w:tc>
      </w:tr>
      <w:tr w14:paraId="7C7B4B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74A836C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RQ4</w:t>
            </w:r>
          </w:p>
        </w:tc>
        <w:tc>
          <w:tcPr>
            <w:tcW w:w="714" w:type="pct"/>
            <w:vAlign w:val="center"/>
          </w:tcPr>
          <w:p w14:paraId="014C63B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教师责任与专业支持是否匹配？</w:t>
            </w:r>
          </w:p>
        </w:tc>
        <w:tc>
          <w:tcPr>
            <w:tcW w:w="714" w:type="pct"/>
            <w:vAlign w:val="center"/>
          </w:tcPr>
          <w:p w14:paraId="7436F27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Q5中的沟通、咨询需求</w:t>
            </w:r>
          </w:p>
        </w:tc>
        <w:tc>
          <w:tcPr>
            <w:tcW w:w="714" w:type="pct"/>
            <w:vAlign w:val="center"/>
          </w:tcPr>
          <w:p w14:paraId="735B1E8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Q8中的师资和服务建议</w:t>
            </w:r>
          </w:p>
        </w:tc>
        <w:tc>
          <w:tcPr>
            <w:tcW w:w="714" w:type="pct"/>
            <w:vAlign w:val="center"/>
          </w:tcPr>
          <w:p w14:paraId="315AD3A4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Q14—Q24、Q37—Q44及补充文本</w:t>
            </w:r>
          </w:p>
        </w:tc>
        <w:tc>
          <w:tcPr>
            <w:tcW w:w="714" w:type="pct"/>
            <w:vAlign w:val="center"/>
          </w:tcPr>
          <w:p w14:paraId="0AEA05EE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班主任核心作用、专业知识和资源不足</w:t>
            </w:r>
          </w:p>
        </w:tc>
        <w:tc>
          <w:tcPr>
            <w:tcW w:w="714" w:type="pct"/>
            <w:vAlign w:val="center"/>
          </w:tcPr>
          <w:p w14:paraId="29A4E12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描述分布、文本分析、角色对照</w:t>
            </w:r>
          </w:p>
        </w:tc>
      </w:tr>
      <w:tr w14:paraId="4C8966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550135D1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RQ5</w:t>
            </w:r>
          </w:p>
        </w:tc>
        <w:tc>
          <w:tcPr>
            <w:tcW w:w="714" w:type="pct"/>
            <w:vAlign w:val="center"/>
          </w:tcPr>
          <w:p w14:paraId="5058782B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筛查之后是否存在连续支持链？</w:t>
            </w:r>
          </w:p>
        </w:tc>
        <w:tc>
          <w:tcPr>
            <w:tcW w:w="714" w:type="pct"/>
            <w:vAlign w:val="center"/>
          </w:tcPr>
          <w:p w14:paraId="356FD802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对求助入口和倾听的期待</w:t>
            </w:r>
          </w:p>
        </w:tc>
        <w:tc>
          <w:tcPr>
            <w:tcW w:w="714" w:type="pct"/>
            <w:vAlign w:val="center"/>
          </w:tcPr>
          <w:p w14:paraId="5DF82225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对筛查、咨询和特殊群体的建议</w:t>
            </w:r>
          </w:p>
        </w:tc>
        <w:tc>
          <w:tcPr>
            <w:tcW w:w="714" w:type="pct"/>
            <w:vAlign w:val="center"/>
          </w:tcPr>
          <w:p w14:paraId="23D29748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Q37—Q49及流程填答</w:t>
            </w:r>
          </w:p>
        </w:tc>
        <w:tc>
          <w:tcPr>
            <w:tcW w:w="714" w:type="pct"/>
            <w:vAlign w:val="center"/>
          </w:tcPr>
          <w:p w14:paraId="4C9D7D1A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线上测评、班主任处置、转介与危机边界</w:t>
            </w:r>
          </w:p>
        </w:tc>
        <w:tc>
          <w:tcPr>
            <w:tcW w:w="714" w:type="pct"/>
            <w:vAlign w:val="center"/>
          </w:tcPr>
          <w:p w14:paraId="012B8D45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工作链条矩阵、不清楚率、主题分析</w:t>
            </w:r>
          </w:p>
        </w:tc>
      </w:tr>
      <w:tr w14:paraId="10E787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28FFC4DD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RQ6</w:t>
            </w:r>
          </w:p>
        </w:tc>
        <w:tc>
          <w:tcPr>
            <w:tcW w:w="714" w:type="pct"/>
            <w:vAlign w:val="center"/>
          </w:tcPr>
          <w:p w14:paraId="6A3AE0CC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家庭、学校与外部资源如何协同？</w:t>
            </w:r>
          </w:p>
        </w:tc>
        <w:tc>
          <w:tcPr>
            <w:tcW w:w="714" w:type="pct"/>
            <w:vAlign w:val="center"/>
          </w:tcPr>
          <w:p w14:paraId="51D57D48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沟通和个体支持需求</w:t>
            </w:r>
          </w:p>
        </w:tc>
        <w:tc>
          <w:tcPr>
            <w:tcW w:w="714" w:type="pct"/>
            <w:vAlign w:val="center"/>
          </w:tcPr>
          <w:p w14:paraId="4AC89877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Q7具体方式、Q8</w:t>
            </w:r>
          </w:p>
        </w:tc>
        <w:tc>
          <w:tcPr>
            <w:tcW w:w="714" w:type="pct"/>
            <w:vAlign w:val="center"/>
          </w:tcPr>
          <w:p w14:paraId="5650D8F2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Q23、Q50—Q53</w:t>
            </w:r>
          </w:p>
        </w:tc>
        <w:tc>
          <w:tcPr>
            <w:tcW w:w="714" w:type="pct"/>
            <w:vAlign w:val="center"/>
          </w:tcPr>
          <w:p w14:paraId="68FA81B3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家长联合、上级讲座、医院/社会资源</w:t>
            </w:r>
          </w:p>
        </w:tc>
        <w:tc>
          <w:tcPr>
            <w:tcW w:w="714" w:type="pct"/>
            <w:vAlign w:val="center"/>
          </w:tcPr>
          <w:p w14:paraId="4357DDD0">
            <w:pPr>
              <w:pStyle w:val="164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行动变量、文本主题、来源间张力分析</w:t>
            </w:r>
          </w:p>
        </w:tc>
      </w:tr>
    </w:tbl>
    <w:p w14:paraId="57C5C053">
      <w:pPr>
        <w:spacing w:after="40"/>
      </w:pPr>
    </w:p>
    <w:p w14:paraId="012AEE59">
      <w:pPr>
        <w:pStyle w:val="4"/>
      </w:pPr>
      <w:r>
        <w:rPr>
          <w:rFonts w:ascii="Times New Roman" w:hAnsi="Times New Roman" w:eastAsia="SimHei"/>
          <w:b/>
          <w:color w:val="000000"/>
          <w:sz w:val="21"/>
        </w:rPr>
        <w:t>使用规则</w:t>
      </w:r>
    </w:p>
    <w:p w14:paraId="78AE56B9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矩阵用于组织证据，不用于把不同样本直接合并统计。</w:t>
      </w:r>
    </w:p>
    <w:p w14:paraId="06FF09A6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同一单元格中的多种材料应先完成来源内分析，再进入跨来源解释。</w:t>
      </w:r>
    </w:p>
    <w:p w14:paraId="7D204688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证据不一致时保留差异，不以多数票决定唯一事实。</w:t>
      </w:r>
    </w:p>
    <w:p w14:paraId="0C138030">
      <w:pPr>
        <w:pStyle w:val="14"/>
        <w:numPr>
          <w:numId w:val="11"/>
        </w:numPr>
      </w:pPr>
      <w:r>
        <w:rPr>
          <w:rFonts w:ascii="Times New Roman" w:hAnsi="Times New Roman" w:eastAsia="SimSun"/>
          <w:b w:val="0"/>
          <w:color w:val="000000"/>
          <w:sz w:val="21"/>
        </w:rPr>
        <w:t>没有直接测量的机制不从访谈或相关结果中推断为因果。</w:t>
      </w:r>
    </w:p>
    <w:p w14:paraId="5D7BC132">
      <w:pPr>
        <w:pStyle w:val="3"/>
      </w:pPr>
      <w:r>
        <w:rPr>
          <w:rFonts w:ascii="Times New Roman" w:hAnsi="Times New Roman" w:eastAsia="SimHei"/>
          <w:b w:val="0"/>
          <w:color w:val="000000"/>
          <w:sz w:val="28"/>
        </w:rPr>
        <w:t>格式依据</w:t>
      </w:r>
    </w:p>
    <w:p w14:paraId="5D073B85">
      <w:r>
        <w:rPr>
          <w:rFonts w:ascii="Times New Roman" w:hAnsi="Times New Roman" w:eastAsia="SimSun"/>
          <w:b w:val="0"/>
          <w:color w:val="000000"/>
          <w:sz w:val="21"/>
        </w:rPr>
        <w:t>《心理学报》投稿指南：https://journal.psych.ac.cn/xlxb/CN/column/column6.shtml。本文件借用其正文、统计表达和三线表规范，但保留项目分析计划所需的结构。</w:t>
      </w:r>
    </w:p>
    <w:sectPr>
      <w:pgSz w:w="11906" w:h="16838"/>
      <w:pgMar w:top="1440" w:right="1440" w:bottom="1440" w:left="1440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B7C09">
    <w:pPr>
      <w:pStyle w:val="24"/>
      <w:jc w:val="center"/>
    </w:pPr>
    <w:r>
      <w:rPr>
        <w:rFonts w:ascii="Times New Roman" w:hAnsi="Times New Roman" w:eastAsia="SimSun"/>
        <w:color w:val="5A5A5A"/>
        <w:sz w:val="18"/>
      </w:rPr>
      <w:fldChar w:fldCharType="begin"/>
    </w:r>
    <w:r>
      <w:rPr>
        <w:rFonts w:ascii="Times New Roman" w:hAnsi="Times New Roman" w:eastAsia="SimSun"/>
        <w:color w:val="5A5A5A"/>
        <w:sz w:val="18"/>
      </w:rPr>
      <w:instrText xml:space="preserve"> PAGE </w:instrText>
    </w:r>
    <w:r>
      <w:rPr>
        <w:rFonts w:ascii="Times New Roman" w:hAnsi="Times New Roman" w:eastAsia="SimSun"/>
        <w:color w:val="5A5A5A"/>
        <w:sz w:val="18"/>
      </w:rPr>
      <w:fldChar w:fldCharType="separate"/>
    </w:r>
    <w:r>
      <w:rPr>
        <w:rFonts w:ascii="Times New Roman" w:hAnsi="Times New Roman" w:eastAsia="SimSun"/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4329B">
    <w:pPr>
      <w:pStyle w:val="25"/>
      <w:jc w:val="center"/>
    </w:pPr>
    <w:r>
      <w:rPr>
        <w:rFonts w:ascii="Times New Roman" w:hAnsi="Times New Roman" w:eastAsia="SimSun"/>
        <w:color w:val="5A5A5A"/>
        <w:sz w:val="17"/>
      </w:rPr>
      <w:t>学校心理健康教育调研项目  |  数据分析计划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F4A00"/>
    <w:rsid w:val="2CAB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SimSu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0" w:line="360" w:lineRule="auto"/>
      <w:ind w:left="420" w:hanging="210"/>
      <w:contextualSpacing/>
    </w:pPr>
    <w:rPr>
      <w:rFonts w:ascii="Times New Roman" w:hAnsi="Times New Roman" w:eastAsia="SimSun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0" w:line="360" w:lineRule="auto"/>
      <w:ind w:left="420" w:hanging="210"/>
      <w:contextualSpacing/>
    </w:pPr>
    <w:rPr>
      <w:rFonts w:ascii="Times New Roman" w:hAnsi="Times New Roman" w:eastAsia="SimSun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Text"/>
    <w:uiPriority w:val="0"/>
    <w:pPr>
      <w:spacing w:before="0" w:after="0" w:line="276" w:lineRule="auto"/>
    </w:pPr>
    <w:rPr>
      <w:rFonts w:ascii="Times New Roman" w:hAnsi="Times New Roman" w:eastAsia="SimSun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5383</Words>
  <Characters>5909</Characters>
  <Lines>0</Lines>
  <Paragraphs>0</Paragraphs>
  <TotalTime>1</TotalTime>
  <ScaleCrop>false</ScaleCrop>
  <LinksUpToDate>false</LinksUpToDate>
  <CharactersWithSpaces>5935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依据现有材料重构；非事前注册文件。</dc:description>
  <cp:lastModifiedBy>韦相君</cp:lastModifiedBy>
  <dcterms:modified xsi:type="dcterms:W3CDTF">2026-08-24T08:48:17Z</dcterms:modified>
  <dc:subject>学生、家长、教师问卷与学校负责人访谈的分析计划</dc:subject>
  <dc:title>学校心理健康教育调研项目：总体数据分析计划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eyJoZGlkIjoiOTlmNTJlZjNkOTE1OTA0N2I1NWI0MzVlMWYwMDMzYTciLCJ1c2VySWQiOiIxNDYyNTI5NTYyIn0=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E153D2AFD2354AEA8CF145B02D54AD07_12</vt:lpwstr>
  </property>
</Properties>
</file>