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Times New Roman" w:hAnsi="Times New Roman" w:cs="Times New Roman" w:eastAsia="黑体"/>
          <w:b/>
          <w:color w:val="000000"/>
          <w:sz w:val="44"/>
        </w:rPr>
        <w:t>学校心理健康教育调研项目</w:t>
      </w:r>
    </w:p>
    <w:p>
      <w:pPr>
        <w:spacing w:before="240"/>
        <w:jc w:val="center"/>
      </w:pPr>
      <w:r>
        <w:rPr>
          <w:rFonts w:ascii="Times New Roman" w:hAnsi="Times New Roman" w:cs="Times New Roman" w:eastAsia="黑体"/>
          <w:b/>
          <w:color w:val="000000"/>
          <w:sz w:val="36"/>
        </w:rPr>
        <w:t>学生问卷数据预处理报告</w:t>
      </w:r>
    </w:p>
    <w:p>
      <w:pPr>
        <w:spacing w:before="560"/>
        <w:jc w:val="center"/>
      </w:pPr>
      <w:r>
        <w:rPr>
          <w:rFonts w:ascii="Times New Roman" w:hAnsi="Times New Roman" w:cs="Times New Roman" w:eastAsia="宋体"/>
          <w:color w:val="000000"/>
          <w:sz w:val="24"/>
        </w:rPr>
        <w:t>第二部分 · 正式研究记录</w:t>
      </w:r>
    </w:p>
    <w:p>
      <w:pPr>
        <w:spacing w:before="2400"/>
        <w:jc w:val="center"/>
      </w:pPr>
      <w:r>
        <w:rPr>
          <w:rFonts w:ascii="Times New Roman" w:hAnsi="Times New Roman" w:cs="Times New Roman" w:eastAsia="宋体"/>
          <w:color w:val="5A5A5A"/>
          <w:sz w:val="21"/>
        </w:rPr>
        <w:t>版本 1.0  |  2026年8月23日</w:t>
      </w:r>
      <w:r>
        <w:br w:type="page"/>
      </w:r>
    </w:p>
    <w:p>
      <w:pPr>
        <w:pStyle w:val="Heading2"/>
      </w:pPr>
      <w:r>
        <w:rPr>
          <w:rFonts w:ascii="Times New Roman" w:hAnsi="Times New Roman" w:cs="Times New Roman" w:eastAsia="黑体"/>
          <w:b/>
          <w:color w:val="000000"/>
          <w:sz w:val="21"/>
        </w:rPr>
        <w:t>一、阶段定位</w:t>
      </w:r>
    </w:p>
    <w:p>
      <w:r>
        <w:rPr>
          <w:rFonts w:ascii="Times New Roman" w:hAnsi="Times New Roman" w:cs="Times New Roman" w:eastAsia="宋体"/>
          <w:b w:val="0"/>
          <w:color w:val="000000"/>
          <w:sz w:val="21"/>
        </w:rPr>
        <w:t>本报告记录学生问卷进入正式分析前的样本筛查、量化变量编码和开放文本材料准备。开放题的代码本、逐条编码、主题归纳和频次统计不属于本阶段，将在第三部分正式分析中完成。</w:t>
      </w:r>
    </w:p>
    <w:p>
      <w:pPr>
        <w:pStyle w:val="Heading2"/>
      </w:pPr>
      <w:r>
        <w:rPr>
          <w:rFonts w:ascii="Times New Roman" w:hAnsi="Times New Roman" w:cs="Times New Roman" w:eastAsia="黑体"/>
          <w:b/>
          <w:color w:val="000000"/>
          <w:sz w:val="21"/>
        </w:rPr>
        <w:t>二、材料与可追溯性</w:t>
      </w:r>
    </w:p>
    <w:p>
      <w:r>
        <w:rPr>
          <w:rFonts w:ascii="Times New Roman" w:hAnsi="Times New Roman" w:cs="Times New Roman" w:eastAsia="宋体"/>
          <w:b w:val="0"/>
          <w:color w:val="000000"/>
          <w:sz w:val="21"/>
        </w:rPr>
        <w:t>学生问卷预处理以施测版问卷、逐份筛查记录和变量字典为依据。筛查记录以S001—S099作为样本标识，依次完成完整性、取值范围、作答质量与开放文本质量检查，并记录变量编码、缺失值与结构性缺失的处理规则。</w:t>
      </w:r>
      <w:r>
        <w:rPr>
          <w:rFonts w:ascii="Times New Roman" w:hAnsi="Times New Roman" w:cs="Times New Roman" w:eastAsia="宋体"/>
          <w:b w:val="0"/>
          <w:color w:val="000000"/>
          <w:sz w:val="21"/>
        </w:rPr>
      </w:r>
      <w:r>
        <w:rPr>
          <w:rFonts w:ascii="Times New Roman" w:hAnsi="Times New Roman" w:cs="Times New Roman" w:eastAsia="宋体"/>
          <w:b w:val="0"/>
          <w:color w:val="000000"/>
          <w:sz w:val="21"/>
        </w:rPr>
      </w:r>
    </w:p>
    <w:p>
      <w:pPr>
        <w:pStyle w:val="Heading2"/>
      </w:pPr>
      <w:r>
        <w:rPr>
          <w:rFonts w:ascii="Times New Roman" w:hAnsi="Times New Roman" w:cs="Times New Roman" w:eastAsia="黑体"/>
          <w:b/>
          <w:color w:val="000000"/>
          <w:sz w:val="21"/>
        </w:rPr>
        <w:t>三、量化样本筛查</w:t>
      </w:r>
    </w:p>
    <w:p>
      <w:r>
        <w:rPr>
          <w:rFonts w:ascii="Times New Roman" w:hAnsi="Times New Roman" w:cs="Times New Roman" w:eastAsia="宋体"/>
          <w:b w:val="0"/>
          <w:color w:val="000000"/>
          <w:sz w:val="21"/>
        </w:rPr>
        <w:t>共回收99份学生问卷，经筛查后全部保留。整份问卷的排除只适用于明确重复、人口学不可能值、封闭题大量缺失或越界、整份机械或无意义作答等情形。本批学生问卷封闭题完整且取值合法；个别开放题出现空白、无实质回答、戏谑、含义不明或偏离心理健康主题的内容，仅作对应文本字段的质量标记，不据此排除整份问卷。</w:t>
      </w:r>
    </w:p>
    <w:p>
      <w:r>
        <w:rPr>
          <w:rFonts w:ascii="Times New Roman" w:hAnsi="Times New Roman" w:cs="Times New Roman" w:eastAsia="宋体"/>
          <w:b w:val="0"/>
          <w:color w:val="000000"/>
          <w:sz w:val="21"/>
        </w:rPr>
        <w:t>样本按匿名年级代码1、2、3分组，人数分别为35、29、35。为保持匿名化口径，分析与报告均使用代码组，不将其转换为未经确认的具体年级名称。</w:t>
      </w:r>
    </w:p>
    <w:p>
      <w:pPr>
        <w:pStyle w:val="Heading2"/>
      </w:pPr>
      <w:r>
        <w:rPr>
          <w:rFonts w:ascii="Times New Roman" w:hAnsi="Times New Roman" w:cs="Times New Roman" w:eastAsia="黑体"/>
          <w:b/>
          <w:color w:val="000000"/>
          <w:sz w:val="21"/>
        </w:rPr>
        <w:t>四、量化变量编码</w:t>
      </w:r>
    </w:p>
    <w:p>
      <w:r>
        <w:rPr>
          <w:rFonts w:ascii="Times New Roman" w:hAnsi="Times New Roman" w:cs="Times New Roman" w:eastAsia="宋体"/>
          <w:b w:val="0"/>
          <w:color w:val="000000"/>
          <w:sz w:val="21"/>
        </w:rPr>
        <w:t>S_GRADE</w:t>
      </w:r>
      <w:r>
        <w:rPr>
          <w:rFonts w:ascii="Times New Roman" w:hAnsi="Times New Roman" w:cs="Times New Roman" w:eastAsia="宋体"/>
          <w:b w:val="0"/>
          <w:color w:val="000000"/>
          <w:sz w:val="21"/>
        </w:rPr>
        <w:t>作为分类变量用于组间比较。</w:t>
      </w:r>
      <w:r>
        <w:rPr>
          <w:rFonts w:ascii="Times New Roman" w:hAnsi="Times New Roman" w:cs="Times New Roman" w:eastAsia="宋体"/>
          <w:b w:val="0"/>
          <w:color w:val="000000"/>
          <w:sz w:val="21"/>
        </w:rPr>
        <w:t>S_Q1_UNDERSTAND</w:t>
      </w:r>
      <w:r>
        <w:rPr>
          <w:rFonts w:ascii="Times New Roman" w:hAnsi="Times New Roman" w:cs="Times New Roman" w:eastAsia="宋体"/>
          <w:b w:val="0"/>
          <w:color w:val="000000"/>
          <w:sz w:val="21"/>
        </w:rPr>
        <w:t>和</w:t>
      </w:r>
      <w:r>
        <w:rPr>
          <w:rFonts w:ascii="Times New Roman" w:hAnsi="Times New Roman" w:cs="Times New Roman" w:eastAsia="宋体"/>
          <w:b w:val="0"/>
          <w:color w:val="000000"/>
          <w:sz w:val="21"/>
        </w:rPr>
        <w:t>S_Q2_SATISFY</w:t>
      </w:r>
      <w:r>
        <w:rPr>
          <w:rFonts w:ascii="Times New Roman" w:hAnsi="Times New Roman" w:cs="Times New Roman" w:eastAsia="宋体"/>
          <w:b w:val="0"/>
          <w:color w:val="000000"/>
          <w:sz w:val="21"/>
        </w:rPr>
        <w:t>均保留1—5的原始有序编码，高分分别表示了解更多和满意度更高。为报告“较高了解/较高满意”比例，分别派生</w:t>
      </w:r>
      <w:r>
        <w:rPr>
          <w:rFonts w:ascii="Times New Roman" w:hAnsi="Times New Roman" w:cs="Times New Roman" w:eastAsia="宋体"/>
          <w:b w:val="0"/>
          <w:color w:val="000000"/>
          <w:sz w:val="21"/>
        </w:rPr>
        <w:t>S_Q1_HIGH</w:t>
      </w:r>
      <w:r>
        <w:rPr>
          <w:rFonts w:ascii="Times New Roman" w:hAnsi="Times New Roman" w:cs="Times New Roman" w:eastAsia="宋体"/>
          <w:b w:val="0"/>
          <w:color w:val="000000"/>
          <w:sz w:val="21"/>
        </w:rPr>
        <w:t>和</w:t>
      </w:r>
      <w:r>
        <w:rPr>
          <w:rFonts w:ascii="Times New Roman" w:hAnsi="Times New Roman" w:cs="Times New Roman" w:eastAsia="宋体"/>
          <w:b w:val="0"/>
          <w:color w:val="000000"/>
          <w:sz w:val="21"/>
        </w:rPr>
        <w:t>S_Q2_HIGH</w:t>
      </w:r>
      <w:r>
        <w:rPr>
          <w:rFonts w:ascii="Times New Roman" w:hAnsi="Times New Roman" w:cs="Times New Roman" w:eastAsia="宋体"/>
          <w:b w:val="0"/>
          <w:color w:val="000000"/>
          <w:sz w:val="21"/>
        </w:rPr>
        <w:t>：原题得分不低于4记为1，否则记为0。派生变量只能由合法、非缺失的原始值生成，不能替代原始五级分布。</w:t>
      </w:r>
    </w:p>
    <w:p>
      <w:r>
        <w:rPr>
          <w:rFonts w:ascii="Times New Roman" w:hAnsi="Times New Roman" w:cs="Times New Roman" w:eastAsia="宋体"/>
          <w:b w:val="0"/>
          <w:color w:val="000000"/>
          <w:sz w:val="21"/>
        </w:rPr>
        <w:t>本阶段不构造总分，也不把单题有序变量默认当作等距连续测量。变量的正式描述和推断统计遵照第一部分分析计划执行。</w:t>
      </w:r>
    </w:p>
    <w:p>
      <w:pPr>
        <w:pStyle w:val="Heading2"/>
      </w:pPr>
      <w:r>
        <w:rPr>
          <w:rFonts w:ascii="Times New Roman" w:hAnsi="Times New Roman" w:cs="Times New Roman" w:eastAsia="黑体"/>
          <w:b/>
          <w:color w:val="000000"/>
          <w:sz w:val="21"/>
        </w:rPr>
        <w:t>五、质性材料准备</w:t>
      </w:r>
    </w:p>
    <w:p>
      <w:r>
        <w:rPr>
          <w:rFonts w:ascii="Times New Roman" w:hAnsi="Times New Roman" w:cs="Times New Roman" w:eastAsia="宋体"/>
          <w:b w:val="0"/>
          <w:color w:val="000000"/>
          <w:sz w:val="21"/>
        </w:rPr>
        <w:t>学生问卷包含Q3课程主题、Q4活动形式和Q5建设期望三个开放题，分别保留为</w:t>
      </w:r>
      <w:r>
        <w:rPr>
          <w:rFonts w:ascii="Times New Roman" w:hAnsi="Times New Roman" w:cs="Times New Roman" w:eastAsia="宋体"/>
          <w:b w:val="0"/>
          <w:color w:val="000000"/>
          <w:sz w:val="21"/>
        </w:rPr>
        <w:t>S_Q3_TOPIC_TEXT</w:t>
      </w:r>
      <w:r>
        <w:rPr>
          <w:rFonts w:ascii="Times New Roman" w:hAnsi="Times New Roman" w:cs="Times New Roman" w:eastAsia="宋体"/>
          <w:b w:val="0"/>
          <w:color w:val="000000"/>
          <w:sz w:val="21"/>
        </w:rPr>
        <w:t>、</w:t>
      </w:r>
      <w:r>
        <w:rPr>
          <w:rFonts w:ascii="Times New Roman" w:hAnsi="Times New Roman" w:cs="Times New Roman" w:eastAsia="宋体"/>
          <w:b w:val="0"/>
          <w:color w:val="000000"/>
          <w:sz w:val="21"/>
        </w:rPr>
        <w:t>S_Q4_ACTIVITY_TEXT</w:t>
      </w:r>
      <w:r>
        <w:rPr>
          <w:rFonts w:ascii="Times New Roman" w:hAnsi="Times New Roman" w:cs="Times New Roman" w:eastAsia="宋体"/>
          <w:b w:val="0"/>
          <w:color w:val="000000"/>
          <w:sz w:val="21"/>
        </w:rPr>
        <w:t>和</w:t>
      </w:r>
      <w:r>
        <w:rPr>
          <w:rFonts w:ascii="Times New Roman" w:hAnsi="Times New Roman" w:cs="Times New Roman" w:eastAsia="宋体"/>
          <w:b w:val="0"/>
          <w:color w:val="000000"/>
          <w:sz w:val="21"/>
        </w:rPr>
        <w:t>S_Q5_EXPECT_TEXT</w:t>
      </w:r>
      <w:r>
        <w:rPr>
          <w:rFonts w:ascii="Times New Roman" w:hAnsi="Times New Roman" w:cs="Times New Roman" w:eastAsia="宋体"/>
          <w:b w:val="0"/>
          <w:color w:val="000000"/>
          <w:sz w:val="21"/>
        </w:rPr>
        <w:t>。本阶段仅允许保留原文、统一多余空白字符、登记空白或含义不明状态，并在必要时删除可识别个人身份的信息。不得在本阶段分配主题代码，也不得把“无”“不知道”自动解释为对学校现状满意。</w:t>
      </w:r>
    </w:p>
    <w:p>
      <w:pPr>
        <w:pStyle w:val="Heading2"/>
      </w:pPr>
      <w:r>
        <w:rPr>
          <w:rFonts w:ascii="Times New Roman" w:hAnsi="Times New Roman" w:cs="Times New Roman" w:eastAsia="黑体"/>
          <w:b/>
          <w:color w:val="000000"/>
          <w:sz w:val="21"/>
        </w:rPr>
        <w:t>六、阶段结果与限制</w:t>
      </w:r>
    </w:p>
    <w:p>
      <w:r>
        <w:rPr>
          <w:rFonts w:ascii="Times New Roman" w:hAnsi="Times New Roman" w:cs="Times New Roman" w:eastAsia="宋体"/>
          <w:b w:val="0"/>
          <w:color w:val="000000"/>
          <w:sz w:val="21"/>
        </w:rPr>
        <w:t>学生问卷有效样本为99份，无整份排除。量化变量命名、方向和派生规则已经明确，三个开放文本字段完成质性分析登记。年级以匿名代码1、2、3表示，组间比较不赋予未经确认的具体年级标签。</w:t>
      </w:r>
    </w:p>
    <w:p>
      <w:pPr>
        <w:pStyle w:val="Heading1"/>
      </w:pPr>
      <w:r>
        <w:rPr>
          <w:rFonts w:ascii="Times New Roman" w:hAnsi="Times New Roman" w:cs="Times New Roman" w:eastAsia="宋体"/>
          <w:b w:val="0"/>
          <w:color w:val="000000"/>
          <w:sz w:val="28"/>
        </w:rPr>
        <w:t>格式与文件说明</w:t>
      </w:r>
    </w:p>
    <w:p>
      <w:r>
        <w:rPr>
          <w:rFonts w:ascii="Times New Roman" w:hAnsi="Times New Roman" w:cs="Times New Roman" w:eastAsia="宋体"/>
          <w:b w:val="0"/>
          <w:color w:val="000000"/>
          <w:sz w:val="21"/>
        </w:rPr>
        <w:t>中文标题与正文、英文数字和统计符号、行距及标题层级参照《心理学报》现行投稿格式设置；英文和数字使用Times New Roman。本报告与原始问卷、筛查记录和分析文件分别归档保存。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color w:val="5A5A5A"/>
        <w:sz w:val="18"/>
      </w:rPr>
      <w:t xml:space="preserve">第 </w:t>
    </w:r>
    <w:fldSimple w:instr="PAGE"/>
    <w:r>
      <w:rPr>
        <w:rFonts w:ascii="Times New Roman" w:hAnsi="Times New Roman" w:cs="Times New Roman" w:eastAsia="宋体"/>
        <w:color w:val="5A5A5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cs="Times New Roman" w:eastAsia="宋体"/>
        <w:color w:val="5A5A5A"/>
        <w:sz w:val="18"/>
      </w:rPr>
      <w:t>学校心理健康教育调研项目 · 数据预处理 · 学生问卷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42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ind w:firstLine="0"/>
      <w:outlineLvl w:val="0"/>
    </w:pPr>
    <w:rPr>
      <w:rFonts w:asciiTheme="majorHAnsi" w:eastAsiaTheme="majorEastAsia" w:hAnsiTheme="majorHAnsi" w:cstheme="majorBidi" w:ascii="Times New Roman" w:hAnsi="Times New Roman" w:eastAsia="宋体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黑体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宋体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学生问卷数据预处理报告</dc:title>
  <dc:subject>学校心理健康教育调研项目第二部分</dc:subject>
  <dc:creator>python-docx</dc:creator>
  <cp:keywords/>
  <dc:description>依据既有材料回溯重构；不进行正式质性编码。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