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b/>
          <w:sz w:val="36"/>
        </w:rPr>
        <w:t>学生问卷阶段报告</w:t>
      </w:r>
    </w:p>
    <w:p>
      <w:pPr>
        <w:ind w:firstLine="0"/>
        <w:jc w:val="center"/>
      </w:pPr>
      <w:r>
        <w:rPr>
          <w:rFonts w:ascii="Times New Roman" w:hAnsi="Times New Roman" w:eastAsia="宋体"/>
          <w:b w:val="0"/>
          <w:sz w:val="22"/>
        </w:rPr>
        <w:t>学校心理健康教育调研：量化结果与开放题主题分析</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8845"/>
      </w:tblGrid>
      <w:tr>
        <w:tc>
          <w:tcPr>
            <w:tcW w:type="dxa" w:w="8845"/>
            <w:vAlign w:val="center"/>
            <w:shd w:fill="F2F2F2"/>
            <w:tcMar>
              <w:top w:w="120" w:type="dxa"/>
              <w:start w:w="150" w:type="dxa"/>
              <w:bottom w:w="120" w:type="dxa"/>
              <w:end w:w="150" w:type="dxa"/>
            </w:tcMar>
          </w:tcPr>
          <w:p>
            <w:pPr>
              <w:ind w:firstLine="0"/>
            </w:pPr>
            <w:r>
              <w:rPr>
                <w:rFonts w:ascii="Times New Roman" w:hAnsi="Times New Roman" w:eastAsia="宋体"/>
                <w:b w:val="0"/>
                <w:sz w:val="19"/>
              </w:rPr>
              <w:t>资料范围：有效学生问卷99份；量化题与开放题分别分析，两位编码员的开放题独立编码分别保存并进行主题层面核对。</w:t>
            </w:r>
          </w:p>
        </w:tc>
      </w:tr>
    </w:tbl>
    <w:p>
      <w:pPr>
        <w:pStyle w:val="Heading2"/>
      </w:pPr>
      <w:r>
        <w:rPr>
          <w:rFonts w:ascii="Times New Roman" w:hAnsi="Times New Roman" w:eastAsia="黑体"/>
          <w:b/>
          <w:sz w:val="24"/>
        </w:rPr>
        <w:t>（一）数据分析方法</w:t>
      </w:r>
    </w:p>
    <w:p>
      <w:pPr/>
      <w:r>
        <w:rPr>
          <w:rFonts w:ascii="Times New Roman" w:hAnsi="Times New Roman" w:eastAsia="宋体"/>
          <w:b w:val="0"/>
          <w:sz w:val="21"/>
        </w:rPr>
        <w:t>学生问卷共保留99份有效答卷。原始年级变量仅记录为1、2、3三个代码，分别有35人、29人和35人。由于材料未说明代码与实际年级名称的对应关系，分析中只使用“年级编码1—3”，不擅自替换为具体年级。</w:t>
      </w:r>
    </w:p>
    <w:p>
      <w:pPr/>
      <w:r>
        <w:rPr>
          <w:rFonts w:ascii="Times New Roman" w:hAnsi="Times New Roman" w:eastAsia="宋体"/>
          <w:b w:val="0"/>
          <w:sz w:val="21"/>
        </w:rPr>
        <w:t>两个封闭题分别测量学生对学校心理健康教育的了解程度和满意程度，均为1—5级有序变量。描述统计报告各选项频数和百分比、中位数、四分位数、均值与标准差，并将4—5分定义为“基本了解/较满意及以上”，用于呈现正向评价比例。</w:t>
      </w:r>
    </w:p>
    <w:p>
      <w:pPr/>
      <w:r>
        <w:rPr>
          <w:rFonts w:ascii="Times New Roman" w:hAnsi="Times New Roman" w:eastAsia="宋体"/>
          <w:b w:val="0"/>
          <w:sz w:val="21"/>
        </w:rPr>
        <w:t>推断统计围绕三个实质问题展开：第一，学生的满意程度是否高于其了解程度，采用配对Wilcoxon符号秩检验；第二，了解程度与满意程度是否相关，采用Spearman等级相关；第三，三个年级编码组是否存在差异，采用Kruskal-Wallis检验，若总体差异显著，再进行Mann-Whitney U两两比较并采用Holm法校正。报告秩二列相关或ε²作为效应量。</w:t>
      </w:r>
    </w:p>
    <w:p>
      <w:pPr/>
      <w:r>
        <w:rPr>
          <w:rFonts w:ascii="Times New Roman" w:hAnsi="Times New Roman" w:eastAsia="宋体"/>
          <w:b w:val="0"/>
          <w:sz w:val="21"/>
        </w:rPr>
        <w:t>三个开放题采用多标签主题编码。每名学生在同一主题下最多计1次，但一条回答可同时进入多个主题，因此各主题百分比之和可以超过100%。空白、“无”“不知道”和明显偏题回答单独编码，不据此删除其封闭题数据。编码由一名分析者完成，因此不虚构编码者一致性系数。</w:t>
      </w:r>
    </w:p>
    <w:p>
      <w:pPr>
        <w:pStyle w:val="Heading2"/>
      </w:pPr>
      <w:r>
        <w:rPr>
          <w:rFonts w:ascii="Times New Roman" w:hAnsi="Times New Roman" w:eastAsia="黑体"/>
          <w:b/>
          <w:sz w:val="24"/>
        </w:rPr>
        <w:t>（二）数据分析结果</w:t>
      </w:r>
    </w:p>
    <w:p>
      <w:pPr>
        <w:pStyle w:val="Heading3"/>
      </w:pPr>
      <w:r>
        <w:rPr>
          <w:rFonts w:ascii="Times New Roman" w:hAnsi="Times New Roman" w:eastAsia="黑体"/>
          <w:b/>
          <w:sz w:val="21"/>
        </w:rPr>
        <w:t>1. 总体了解程度低于满意程度</w:t>
      </w:r>
    </w:p>
    <w:p>
      <w:pPr>
        <w:pStyle w:val="表题"/>
      </w:pPr>
      <w:r>
        <w:rPr>
          <w:rFonts w:ascii="Times New Roman" w:hAnsi="Times New Roman" w:eastAsia="宋体"/>
          <w:b w:val="0"/>
          <w:sz w:val="18"/>
        </w:rPr>
        <w:t>表1  学生了解度与满意度描述统计</w:t>
      </w:r>
    </w:p>
    <w:tbl>
      <w:tblPr>
        <w:tblW w:type="auto" w:w="0"/>
        <w:jc w:val="center"/>
        <w:tblLayout w:type="autofit"/>
        <w:tblLook w:firstColumn="1" w:firstRow="1" w:lastColumn="0" w:lastRow="0" w:noHBand="0" w:noVBand="1" w:val="04A0"/>
        <w:tblBorders>
          <w:top w:val="single" w:sz="12" w:color="000000"/>
          <w:left w:val="nil"/>
          <w:bottom w:val="single" w:sz="12" w:color="000000"/>
          <w:right w:val="nil"/>
          <w:insideH w:val="nil"/>
          <w:insideV w:val="nil"/>
        </w:tblBorders>
      </w:tblPr>
      <w:tblGrid>
        <w:gridCol w:w="1474"/>
        <w:gridCol w:w="1474"/>
        <w:gridCol w:w="1474"/>
        <w:gridCol w:w="1474"/>
        <w:gridCol w:w="1474"/>
        <w:gridCol w:w="1474"/>
      </w:tblGrid>
      <w:tr>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变量</w:t>
            </w:r>
          </w:p>
        </w:tc>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N</w:t>
            </w:r>
          </w:p>
        </w:tc>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均值±标准差</w:t>
            </w:r>
          </w:p>
        </w:tc>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中位数（P25，P75）</w:t>
            </w:r>
          </w:p>
        </w:tc>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4—5分人数</w:t>
            </w:r>
          </w:p>
        </w:tc>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4—5分比例</w:t>
            </w:r>
          </w:p>
        </w:tc>
      </w:tr>
      <w:tr>
        <w:tc>
          <w:tcPr>
            <w:tcW w:type="dxa" w:w="1474"/>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了解程度</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99</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3.70±0.89</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4（3，4）</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69</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69.7%</w:t>
            </w:r>
          </w:p>
        </w:tc>
      </w:tr>
      <w:tr>
        <w:tc>
          <w:tcPr>
            <w:tcW w:type="dxa" w:w="1474"/>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满意程度</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99</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4.10±0.89</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4（4，5）</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79</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79.8%</w:t>
            </w:r>
          </w:p>
        </w:tc>
      </w:tr>
    </w:tbl>
    <w:p>
      <w:pPr>
        <w:spacing w:after="60"/>
        <w:ind w:firstLine="0"/>
      </w:pPr>
      <w:r>
        <w:rPr>
          <w:rFonts w:ascii="Times New Roman" w:hAnsi="Times New Roman" w:eastAsia="宋体"/>
          <w:b w:val="0"/>
          <w:sz w:val="16"/>
        </w:rPr>
        <w:t>注：百分比按各题有效样本计算；因四舍五入，合计可能不等于100%。</w:t>
      </w:r>
    </w:p>
    <w:p>
      <w:pPr/>
      <w:r>
        <w:rPr>
          <w:rFonts w:ascii="Times New Roman" w:hAnsi="Times New Roman" w:eastAsia="宋体"/>
          <w:b w:val="0"/>
          <w:sz w:val="21"/>
        </w:rPr>
        <w:t>学生总体对学校心理健康教育的评价较为积极：69人（69.7%）达到“基本了解”或“非常了解”，79人（79.8%）达到“较满意”或“非常满意”。不过，满意程度整体高于了解程度。99名学生中，37人的满意度高于了解度，56人两者相同，仅6人的满意度低于了解度；配对检验显示差异显著，W=111，P&lt;0.001，秩二列相关=0.765。这表明学校现有工作获得了较高认可，但学生未必清楚其内容、形式或支持渠道。</w:t>
      </w:r>
    </w:p>
    <w:p>
      <w:pPr>
        <w:pStyle w:val="Heading3"/>
      </w:pPr>
      <w:r>
        <w:rPr>
          <w:rFonts w:ascii="Times New Roman" w:hAnsi="Times New Roman" w:eastAsia="黑体"/>
          <w:b/>
          <w:sz w:val="21"/>
        </w:rPr>
        <w:t>2. 了解越充分，满意度通常越高</w:t>
      </w:r>
    </w:p>
    <w:p>
      <w:pPr/>
      <w:r>
        <w:rPr>
          <w:rFonts w:ascii="Times New Roman" w:hAnsi="Times New Roman" w:eastAsia="宋体"/>
          <w:b w:val="0"/>
          <w:sz w:val="21"/>
        </w:rPr>
        <w:t>了解程度与满意程度呈中等偏强正相关，Spearman ρ=0.551，P&lt;0.001。这一关系支持“提高工作可见度和学生理解可能与更积极评价相伴”的判断，但横断面相关不能证明了解程度单向导致满意度提高。</w:t>
      </w:r>
    </w:p>
    <w:p>
      <w:pPr>
        <w:pStyle w:val="Heading3"/>
      </w:pPr>
      <w:r>
        <w:rPr>
          <w:rFonts w:ascii="Times New Roman" w:hAnsi="Times New Roman" w:eastAsia="黑体"/>
          <w:b/>
          <w:sz w:val="21"/>
        </w:rPr>
        <w:t>3. 了解程度稳定，满意程度存在年级组差异</w:t>
      </w:r>
    </w:p>
    <w:p>
      <w:pPr>
        <w:pStyle w:val="表题"/>
      </w:pPr>
      <w:r>
        <w:rPr>
          <w:rFonts w:ascii="Times New Roman" w:hAnsi="Times New Roman" w:eastAsia="宋体"/>
          <w:b w:val="0"/>
          <w:sz w:val="18"/>
        </w:rPr>
        <w:t>表2  不同年级编码组的结果</w:t>
      </w:r>
    </w:p>
    <w:tbl>
      <w:tblPr>
        <w:tblW w:type="auto" w:w="0"/>
        <w:jc w:val="center"/>
        <w:tblLayout w:type="autofit"/>
        <w:tblLook w:firstColumn="1" w:firstRow="1" w:lastColumn="0" w:lastRow="0" w:noHBand="0" w:noVBand="1" w:val="04A0"/>
        <w:tblBorders>
          <w:top w:val="single" w:sz="12" w:color="000000"/>
          <w:left w:val="nil"/>
          <w:bottom w:val="single" w:sz="12" w:color="000000"/>
          <w:right w:val="nil"/>
          <w:insideH w:val="nil"/>
          <w:insideV w:val="nil"/>
        </w:tblBorders>
      </w:tblPr>
      <w:tblGrid>
        <w:gridCol w:w="1474"/>
        <w:gridCol w:w="1474"/>
        <w:gridCol w:w="1474"/>
        <w:gridCol w:w="1474"/>
        <w:gridCol w:w="1474"/>
        <w:gridCol w:w="1474"/>
      </w:tblGrid>
      <w:tr>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年级编码</w:t>
            </w:r>
          </w:p>
        </w:tc>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N</w:t>
            </w:r>
          </w:p>
        </w:tc>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了解均值</w:t>
            </w:r>
          </w:p>
        </w:tc>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了解4—5分</w:t>
            </w:r>
          </w:p>
        </w:tc>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满意均值</w:t>
            </w:r>
          </w:p>
        </w:tc>
        <w:tc>
          <w:tcPr>
            <w:tcW w:type="dxa" w:w="1474"/>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满意4—5分</w:t>
            </w:r>
          </w:p>
        </w:tc>
      </w:tr>
      <w:tr>
        <w:tc>
          <w:tcPr>
            <w:tcW w:type="dxa" w:w="1474"/>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1</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35</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3.71</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62.9%</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4.34</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85.7%</w:t>
            </w:r>
          </w:p>
        </w:tc>
      </w:tr>
      <w:tr>
        <w:tc>
          <w:tcPr>
            <w:tcW w:type="dxa" w:w="1474"/>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2</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29</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3.69</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75.9%</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3.93</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75.9%</w:t>
            </w:r>
          </w:p>
        </w:tc>
      </w:tr>
      <w:tr>
        <w:tc>
          <w:tcPr>
            <w:tcW w:type="dxa" w:w="1474"/>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3</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35</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3.69</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71.4%</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4.00</w:t>
            </w:r>
          </w:p>
        </w:tc>
        <w:tc>
          <w:tcPr>
            <w:tcW w:type="dxa" w:w="1474"/>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77.1%</w:t>
            </w:r>
          </w:p>
        </w:tc>
      </w:tr>
    </w:tbl>
    <w:p>
      <w:pPr>
        <w:spacing w:after="60"/>
        <w:ind w:firstLine="0"/>
      </w:pPr>
      <w:r>
        <w:rPr>
          <w:rFonts w:ascii="Times New Roman" w:hAnsi="Times New Roman" w:eastAsia="宋体"/>
          <w:b w:val="0"/>
          <w:sz w:val="16"/>
        </w:rPr>
        <w:t>注：百分比按各题有效样本计算；因四舍五入，合计可能不等于100%。</w:t>
      </w:r>
    </w:p>
    <w:p>
      <w:pPr/>
      <w:r>
        <w:rPr>
          <w:rFonts w:ascii="Times New Roman" w:hAnsi="Times New Roman" w:eastAsia="宋体"/>
          <w:b w:val="0"/>
          <w:sz w:val="21"/>
        </w:rPr>
        <w:t>三个年级编码组的了解程度几乎一致，H=0.066，P=0.967。满意程度则存在总体差异，H=7.528，P=0.023，ε²=0.058，效应量较小。Holm校正后，编码1组满意度高于编码2组（校正P=0.034）；编码1与编码3、编码2与编码3的差异均未达到校正后的显著标准。年级采用匿名代码呈现，因此该结果仅解释为编码组间差异，不进一步赋予具体发展阶段含义。</w:t>
      </w:r>
    </w:p>
    <w:p>
      <w:pPr>
        <w:pStyle w:val="Heading3"/>
      </w:pPr>
      <w:r>
        <w:rPr>
          <w:rFonts w:ascii="Times New Roman" w:hAnsi="Times New Roman" w:eastAsia="黑体"/>
          <w:b/>
          <w:sz w:val="21"/>
        </w:rPr>
        <w:t>4. 学生需求集中在关系、情绪和互动体验</w:t>
      </w:r>
    </w:p>
    <w:p>
      <w:pPr>
        <w:pStyle w:val="表题"/>
      </w:pPr>
      <w:r>
        <w:rPr>
          <w:rFonts w:ascii="Times New Roman" w:hAnsi="Times New Roman" w:eastAsia="宋体"/>
          <w:b w:val="0"/>
          <w:sz w:val="18"/>
        </w:rPr>
        <w:t>表3  学生开放题主要主题</w:t>
      </w:r>
    </w:p>
    <w:tbl>
      <w:tblPr>
        <w:tblW w:type="auto" w:w="0"/>
        <w:jc w:val="center"/>
        <w:tblLayout w:type="autofit"/>
        <w:tblLook w:firstColumn="1" w:firstRow="1" w:lastColumn="0" w:lastRow="0" w:noHBand="0" w:noVBand="1" w:val="04A0"/>
        <w:tblBorders>
          <w:top w:val="single" w:sz="12" w:color="000000"/>
          <w:left w:val="nil"/>
          <w:bottom w:val="single" w:sz="12" w:color="000000"/>
          <w:right w:val="nil"/>
          <w:insideH w:val="nil"/>
          <w:insideV w:val="nil"/>
        </w:tblBorders>
      </w:tblPr>
      <w:tblGrid>
        <w:gridCol w:w="2211"/>
        <w:gridCol w:w="2211"/>
        <w:gridCol w:w="2211"/>
        <w:gridCol w:w="2211"/>
      </w:tblGrid>
      <w:tr>
        <w:tc>
          <w:tcPr>
            <w:tcW w:type="dxa" w:w="2211"/>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开放题</w:t>
            </w:r>
          </w:p>
        </w:tc>
        <w:tc>
          <w:tcPr>
            <w:tcW w:type="dxa" w:w="2211"/>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主要主题</w:t>
            </w:r>
          </w:p>
        </w:tc>
        <w:tc>
          <w:tcPr>
            <w:tcW w:type="dxa" w:w="2211"/>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提及人数</w:t>
            </w:r>
          </w:p>
        </w:tc>
        <w:tc>
          <w:tcPr>
            <w:tcW w:type="dxa" w:w="2211"/>
            <w:vAlign w:val="center"/>
            <w:tcMar>
              <w:top w:w="80" w:type="dxa"/>
              <w:start w:w="80" w:type="dxa"/>
              <w:bottom w:w="80" w:type="dxa"/>
              <w:end w:w="80" w:type="dxa"/>
            </w:tcMar>
            <w:tcBorders>
              <w:bottom w:val="single" w:sz="8" w:color="000000"/>
            </w:tcBorders>
          </w:tcPr>
          <w:p>
            <w:pPr>
              <w:spacing w:line="240" w:lineRule="auto"/>
              <w:ind w:firstLine="0"/>
              <w:jc w:val="center"/>
            </w:pPr>
            <w:r>
              <w:rPr>
                <w:rFonts w:ascii="Times New Roman" w:hAnsi="Times New Roman" w:eastAsia="宋体"/>
                <w:b/>
                <w:sz w:val="17"/>
              </w:rPr>
              <w:t>占全部学生</w:t>
            </w:r>
          </w:p>
        </w:tc>
      </w:tr>
      <w:tr>
        <w:tc>
          <w:tcPr>
            <w:tcW w:type="dxa" w:w="2211"/>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喜欢的课程主题</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人际交往</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63</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63.6%</w:t>
            </w:r>
          </w:p>
        </w:tc>
      </w:tr>
      <w:tr>
        <w:tc>
          <w:tcPr>
            <w:tcW w:type="dxa" w:w="2211"/>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喜欢的课程主题</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情绪认识与调节</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34</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34.3%</w:t>
            </w:r>
          </w:p>
        </w:tc>
      </w:tr>
      <w:tr>
        <w:tc>
          <w:tcPr>
            <w:tcW w:type="dxa" w:w="2211"/>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喜欢的课程主题</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压力与学习管理</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24</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24.2%</w:t>
            </w:r>
          </w:p>
        </w:tc>
      </w:tr>
      <w:tr>
        <w:tc>
          <w:tcPr>
            <w:tcW w:type="dxa" w:w="2211"/>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喜欢的活动形式</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游园会/生涯体验</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59</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59.6%</w:t>
            </w:r>
          </w:p>
        </w:tc>
      </w:tr>
      <w:tr>
        <w:tc>
          <w:tcPr>
            <w:tcW w:type="dxa" w:w="2211"/>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喜欢的活动形式</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心理漫画/板报</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37</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37.4%</w:t>
            </w:r>
          </w:p>
        </w:tc>
      </w:tr>
      <w:tr>
        <w:tc>
          <w:tcPr>
            <w:tcW w:type="dxa" w:w="2211"/>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改进期望</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丰富活动形式</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22</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22.2%</w:t>
            </w:r>
          </w:p>
        </w:tc>
      </w:tr>
      <w:tr>
        <w:tc>
          <w:tcPr>
            <w:tcW w:type="dxa" w:w="2211"/>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改进期望</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拓展内容与知识</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19</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19.2%</w:t>
            </w:r>
          </w:p>
        </w:tc>
      </w:tr>
      <w:tr>
        <w:tc>
          <w:tcPr>
            <w:tcW w:type="dxa" w:w="2211"/>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改进期望</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增强互动与实践</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18</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18.2%</w:t>
            </w:r>
          </w:p>
        </w:tc>
      </w:tr>
      <w:tr>
        <w:tc>
          <w:tcPr>
            <w:tcW w:type="dxa" w:w="2211"/>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改进期望</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增加课程或频率</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18</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18.2%</w:t>
            </w:r>
          </w:p>
        </w:tc>
      </w:tr>
      <w:tr>
        <w:tc>
          <w:tcPr>
            <w:tcW w:type="dxa" w:w="2211"/>
            <w:vAlign w:val="center"/>
            <w:tcMar>
              <w:top w:w="80" w:type="dxa"/>
              <w:start w:w="80" w:type="dxa"/>
              <w:bottom w:w="80" w:type="dxa"/>
              <w:end w:w="80" w:type="dxa"/>
            </w:tcMar>
          </w:tcPr>
          <w:p>
            <w:pPr>
              <w:spacing w:line="240" w:lineRule="auto"/>
              <w:ind w:firstLine="0"/>
              <w:jc w:val="left"/>
            </w:pPr>
            <w:r>
              <w:rPr>
                <w:rFonts w:ascii="Times New Roman" w:hAnsi="Times New Roman" w:eastAsia="宋体"/>
                <w:b w:val="0"/>
                <w:sz w:val="17"/>
              </w:rPr>
              <w:t>改进期望</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加强沟通与个别倾听</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10</w:t>
            </w:r>
          </w:p>
        </w:tc>
        <w:tc>
          <w:tcPr>
            <w:tcW w:type="dxa" w:w="2211"/>
            <w:vAlign w:val="center"/>
            <w:tcMar>
              <w:top w:w="80" w:type="dxa"/>
              <w:start w:w="80" w:type="dxa"/>
              <w:bottom w:w="80" w:type="dxa"/>
              <w:end w:w="80" w:type="dxa"/>
            </w:tcMar>
          </w:tcPr>
          <w:p>
            <w:pPr>
              <w:spacing w:line="240" w:lineRule="auto"/>
              <w:ind w:firstLine="0"/>
              <w:jc w:val="center"/>
            </w:pPr>
            <w:r>
              <w:rPr>
                <w:rFonts w:ascii="Times New Roman" w:hAnsi="Times New Roman" w:eastAsia="宋体"/>
                <w:b w:val="0"/>
                <w:sz w:val="17"/>
              </w:rPr>
              <w:t>10.1%</w:t>
            </w:r>
          </w:p>
        </w:tc>
      </w:tr>
    </w:tbl>
    <w:p>
      <w:pPr>
        <w:spacing w:after="60"/>
        <w:ind w:firstLine="0"/>
      </w:pPr>
      <w:r>
        <w:rPr>
          <w:rFonts w:ascii="Times New Roman" w:hAnsi="Times New Roman" w:eastAsia="宋体"/>
          <w:b w:val="0"/>
          <w:sz w:val="16"/>
        </w:rPr>
        <w:t>注：百分比按各题有效样本计算；因四舍五入，合计可能不等于100%。</w:t>
      </w:r>
    </w:p>
    <w:p>
      <w:pPr/>
      <w:r>
        <w:rPr>
          <w:rFonts w:ascii="Times New Roman" w:hAnsi="Times New Roman" w:eastAsia="宋体"/>
          <w:b w:val="0"/>
          <w:sz w:val="21"/>
        </w:rPr>
        <w:t>学生最常提到的人际交往、情绪管理和压力管理都与日常学习生活直接相关。活动偏好明显集中于游园会、生涯体验、心理漫画等参与性和可视化形式。改进建议也不是单纯要求“增加课时”：丰富活动、增加互动、提高趣味性、扩展内容和加强师生沟通均反复出现。这说明更有意义的改进方向是把课程数量、活动形式和真实参与体验结合起来，而不是只增加一次讲座或一节知识课。</w:t>
      </w:r>
    </w:p>
    <w:p>
      <w:pPr/>
      <w:r>
        <w:rPr>
          <w:rFonts w:ascii="Times New Roman" w:hAnsi="Times New Roman" w:eastAsia="宋体"/>
          <w:b w:val="0"/>
          <w:sz w:val="21"/>
        </w:rPr>
        <w:t>同时，10名学生明确提出加强师生沟通或个别倾听，1名学生直接提出配备心理咨询师。尽管数量不高，这些回答提示学校在普及性课程之外仍需保留清晰、低门槛的个体求助入口。</w:t>
      </w:r>
    </w:p>
    <w:p>
      <w:pPr>
        <w:pStyle w:val="Heading2"/>
      </w:pPr>
      <w:r>
        <w:rPr>
          <w:rFonts w:ascii="Times New Roman" w:hAnsi="Times New Roman" w:eastAsia="黑体"/>
          <w:b/>
          <w:sz w:val="24"/>
        </w:rPr>
        <w:t>（三）学生问卷阶段性结论</w:t>
      </w:r>
    </w:p>
    <w:p>
      <w:pPr/>
      <w:r>
        <w:rPr>
          <w:rFonts w:ascii="Times New Roman" w:hAnsi="Times New Roman" w:eastAsia="宋体"/>
          <w:b w:val="0"/>
          <w:sz w:val="21"/>
        </w:rPr>
        <w:t>学生端的核心结论不是“心理健康教育效果不好”，而是“总体认可较高，但工作可见度、内容理解和参与深度仍可提升”。学生真正感兴趣的内容集中在人际关系、情绪与压力，偏好的形式集中于游园会、漫画、游戏和互动活动。后续建议应围绕提高学生对学校支持渠道的认知、增加可参与的活动以及建立个别倾听入口展开。</w:t>
      </w:r>
    </w:p>
    <w:p>
      <w:pPr>
        <w:pStyle w:val="Heading1"/>
      </w:pPr>
      <w:r>
        <w:rPr>
          <w:rFonts w:ascii="Times New Roman" w:hAnsi="Times New Roman" w:eastAsia="黑体"/>
        </w:rPr>
        <w:t>四、材料与复核说明</w:t>
      </w:r>
    </w:p>
    <w:p>
      <w:r>
        <w:rPr>
          <w:rFonts w:ascii="Times New Roman" w:hAnsi="Times New Roman" w:eastAsia="宋体"/>
          <w:sz w:val="21"/>
        </w:rPr>
        <w:t>本报告与同名正式分析工作簿配套使用。工作簿分别保存编码员1和编码员2平行独立完成的编码结果；由于两套代码体系的层级与命名不同，采用主题层面的交叉核对，不计算缺乏同层级标签基础的一致性系数。量化结果、质性证据与报告结论按照同一分析顺序对应保存。</w:t>
      </w:r>
    </w:p>
    <w:sectPr w:rsidR="00FC693F" w:rsidRPr="0006063C" w:rsidSect="00034616">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imes New Roman">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黑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ascii="Times New Roman" w:hAnsi="Times New Roman" w:eastAsia="黑体"/>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ind w:firstLine="0"/>
      <w:outlineLvl w:val="2"/>
    </w:pPr>
    <w:rPr>
      <w:rFonts w:asciiTheme="majorHAnsi" w:eastAsiaTheme="majorEastAsia" w:hAnsiTheme="majorHAnsi" w:cstheme="majorBidi" w:ascii="Times New Roman" w:hAnsi="Times New Roman" w:eastAsia="黑体"/>
      <w:b/>
      <w:bCs/>
      <w:sz w:val="21"/>
    </w:rPr>
  </w:style>
  <w:style w:type="paragraph" w:styleId="Heading4">
    <w:name w:val="heading 4"/>
    <w:basedOn w:val="Normal"/>
    <w:next w:val="Normal"/>
    <w:link w:val="Heading4Char"/>
    <w:uiPriority w:val="9"/>
    <w:semiHidden/>
    <w:unhideWhenUsed/>
    <w:qFormat/>
    <w:rsid w:val="00FC693F"/>
    <w:pPr>
      <w:keepNext/>
      <w:keepLines/>
      <w:spacing w:before="200" w:after="100"/>
      <w:ind w:firstLine="0"/>
      <w:outlineLvl w:val="3"/>
    </w:pPr>
    <w:rPr>
      <w:rFonts w:asciiTheme="majorHAnsi" w:eastAsiaTheme="majorEastAsia" w:hAnsiTheme="majorHAnsi" w:cstheme="majorBidi" w:ascii="Times New Roman" w:hAnsi="Times New Roman" w:eastAsia="黑体"/>
      <w:b/>
      <w:bCs/>
      <w:i/>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ind w:firstLine="0"/>
      <w:contextualSpacing/>
      <w:jc w:val="center"/>
    </w:pPr>
    <w:rPr>
      <w:rFonts w:asciiTheme="majorHAnsi" w:eastAsiaTheme="majorEastAsia" w:hAnsiTheme="majorHAnsi" w:cstheme="majorBidi" w:ascii="Times New Roman" w:hAnsi="Times New Roman" w:eastAsia="黑体"/>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表题">
    <w:name w:val="表题"/>
    <w:pPr>
      <w:spacing w:before="120" w:after="60"/>
      <w:ind w:firstLine="0"/>
      <w:jc w:val="center"/>
    </w:pPr>
    <w:rPr>
      <w:rFonts w:ascii="Times New Roman" w:hAnsi="Times New Roman"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