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b/>
          <w:sz w:val="36"/>
        </w:rPr>
        <w:t>教师问卷阶段报告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学校心理健康教育调研：教师认知、制度运行与支持链条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845"/>
      </w:tblGrid>
      <w:tr>
        <w:tc>
          <w:tcPr>
            <w:tcW w:type="dxa" w:w="8845"/>
            <w:vAlign w:val="center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证据边界：有效教师17名。由于样本小且题目主要反映制度事实与教师认知，本报告以描述为主；‘不清楚’作为有意义结果单列，不当作普通缺失。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sz w:val="24"/>
        </w:rPr>
        <w:t>（一）数据分析方法</w:t>
      </w:r>
    </w:p>
    <w:p>
      <w:pPr/>
      <w:r>
        <w:rPr>
          <w:rFonts w:ascii="Times New Roman" w:hAnsi="Times New Roman" w:eastAsia="宋体"/>
          <w:b w:val="0"/>
          <w:sz w:val="21"/>
        </w:rPr>
        <w:t>教师问卷共17份有效答卷。由于样本较小、题目多为学校制度事实或教师认知，并且不同题目不构成单一心理量表，分析以频数、百分比和有序分布为主，不进行因子分析、整体信度检验或随意构造“学校心理健康教育总分”。</w:t>
      </w:r>
    </w:p>
    <w:p>
      <w:pPr/>
      <w:r>
        <w:rPr>
          <w:rFonts w:ascii="Times New Roman" w:hAnsi="Times New Roman" w:eastAsia="宋体"/>
          <w:b w:val="0"/>
          <w:sz w:val="21"/>
        </w:rPr>
        <w:t>教师问卷按七个模块整理：教师背景；制度、设施与领导支持；心理师资与培训；课程建设；辅导、筛查、档案和转介；活动与危机干预；家庭与社会协同。多选题按每个选项的提及人数统计。选择“学校没有心理健康教育教师”的3名教师，其第15—19题按结构性缺失处理。</w:t>
      </w:r>
    </w:p>
    <w:p>
      <w:pPr/>
      <w:r>
        <w:rPr>
          <w:rFonts w:ascii="Times New Roman" w:hAnsi="Times New Roman" w:eastAsia="宋体"/>
          <w:b w:val="0"/>
          <w:sz w:val="21"/>
        </w:rPr>
        <w:t>“不清楚”被视为具有解释意义的结果，而不是简单缺失。由于受访者均回答同一学校，教师对经费、师资、制度和转介的意见不一致，本身能够反映制度信息的可见度、口径或落实差异。结果表述为“教师认知分布”，并在访谈分析中与负责人说法交叉核对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</w:rPr>
        <w:t>（二）数据分析结果</w:t>
      </w:r>
    </w:p>
    <w:p>
      <w:pPr>
        <w:pStyle w:val="Heading3"/>
      </w:pPr>
      <w:r>
        <w:rPr>
          <w:rFonts w:ascii="Times New Roman" w:hAnsi="Times New Roman" w:eastAsia="黑体"/>
          <w:b/>
          <w:sz w:val="21"/>
        </w:rPr>
        <w:t>1. 教师样本覆盖新老教师，但没有心理学科教师</w:t>
      </w:r>
    </w:p>
    <w:p>
      <w:pPr/>
      <w:r>
        <w:rPr>
          <w:rFonts w:ascii="Times New Roman" w:hAnsi="Times New Roman" w:eastAsia="宋体"/>
          <w:b w:val="0"/>
          <w:sz w:val="21"/>
        </w:rPr>
        <w:t>17名教师中女性12人、男性5人；年龄25—60岁，平均42.0岁，中位数41岁；教龄1—38年，平均17.9年，中位数17年。8人为高级教师，3人为一级教师，2人为二级教师，4人未评职称。任教学科覆盖语文、数学、英语、历史、生物、道德与法治等，没有教师将自己报告为心理相关科目教师。</w:t>
      </w:r>
    </w:p>
    <w:p>
      <w:pPr>
        <w:pStyle w:val="Heading3"/>
      </w:pPr>
      <w:r>
        <w:rPr>
          <w:rFonts w:ascii="Times New Roman" w:hAnsi="Times New Roman" w:eastAsia="黑体"/>
          <w:b/>
          <w:sz w:val="21"/>
        </w:rPr>
        <w:t>2. 学校具备基本制度和课程基础</w:t>
      </w:r>
    </w:p>
    <w:p>
      <w:pPr>
        <w:pStyle w:val="表题"/>
      </w:pPr>
      <w:r>
        <w:rPr>
          <w:rFonts w:ascii="Times New Roman" w:hAnsi="Times New Roman" w:eastAsia="宋体"/>
          <w:b w:val="0"/>
          <w:sz w:val="18"/>
        </w:rPr>
        <w:t>表1  学校制度与课程基础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nil"/>
          <w:insideV w:val="nil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主要结果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解释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心理咨询室/辅导室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11人回答有，3人回答无，3人不清楚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多数认可场地存在，但认知并不完全一致。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心理健康管理制度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14人回答有，3人不清楚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制度层面的基础较明确。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领导重视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15人同意或非常同意，2人一般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教师普遍感受到领导重视。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课程覆盖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14人称每个年级均开设，1人称部分年级，2人不清楚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课程覆盖总体较广。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课程挤占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14人称不挤占，1人称偶尔挤占，1人称一直上其他课，1人不清楚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主流评价积极，但仍存在执行差异。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课程体系建设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13人回答有，1人回答无，3人不清楚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制度形式较完整。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6"/>
        </w:rPr>
        <w:t>注：百分比按各题有效样本计算；因四舍五入，合计可能不等于100%。</w:t>
      </w:r>
    </w:p>
    <w:p>
      <w:pPr/>
      <w:r>
        <w:rPr>
          <w:rFonts w:ascii="Times New Roman" w:hAnsi="Times New Roman" w:eastAsia="宋体"/>
          <w:b w:val="0"/>
          <w:sz w:val="21"/>
        </w:rPr>
        <w:t>课程主题也较为丰富：17名教师中，16人提到认识自我和情绪调适，15人提到人际交往，12人提到学会学习，8人提到生活和社会适应，6人提到生涯规划。课程形式以心理训练（13人）最常见，游戏辅导和专题讲座各8人，团体辅导和问题辨析各7人。教师报告的课程主题与学生偏好在人际交往、情绪和压力适应方面基本一致。</w:t>
      </w:r>
    </w:p>
    <w:p>
      <w:pPr>
        <w:pStyle w:val="Heading3"/>
      </w:pPr>
      <w:r>
        <w:rPr>
          <w:rFonts w:ascii="Times New Roman" w:hAnsi="Times New Roman" w:eastAsia="黑体"/>
          <w:b/>
          <w:sz w:val="21"/>
        </w:rPr>
        <w:t>3. 课程开展较普遍，但课程研发和教材信息不统一</w:t>
      </w:r>
    </w:p>
    <w:p>
      <w:pPr/>
      <w:r>
        <w:rPr>
          <w:rFonts w:ascii="Times New Roman" w:hAnsi="Times New Roman" w:eastAsia="宋体"/>
          <w:b w:val="0"/>
          <w:sz w:val="21"/>
        </w:rPr>
        <w:t>在课程内容研发方面，4人报告由专门教研组共同研发，3人报告由心理教师个人研发，6人报告没有课程研发，4人不清楚。校本教材方面，8人回答有，1人回答无，8人不清楚。由此可见，课程“是否开设”比“由谁系统研发、使用什么教材”更加明确，课程专业化和统一性仍不足。</w:t>
      </w:r>
    </w:p>
    <w:p>
      <w:pPr>
        <w:pStyle w:val="Heading3"/>
      </w:pPr>
      <w:r>
        <w:rPr>
          <w:rFonts w:ascii="Times New Roman" w:hAnsi="Times New Roman" w:eastAsia="黑体"/>
          <w:b/>
          <w:sz w:val="21"/>
        </w:rPr>
        <w:t>4. 教师培训意愿高于自评胜任力</w:t>
      </w:r>
    </w:p>
    <w:p>
      <w:pPr>
        <w:pStyle w:val="表题"/>
      </w:pPr>
      <w:r>
        <w:rPr>
          <w:rFonts w:ascii="Times New Roman" w:hAnsi="Times New Roman" w:eastAsia="宋体"/>
          <w:b w:val="0"/>
          <w:sz w:val="18"/>
        </w:rPr>
        <w:t>表2  教师胜任力与培训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nil"/>
          <w:insideV w:val="nil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分布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自评心理健康教育胜任力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2人非常同意、7人同意、7人一般、1人不同意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仅约一半明确认为自己胜任，仍有较大提升空间。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愿意接受心理健康教育培训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4人非常同意、10人同意、3人一般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14/17表现出明确培训意愿。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其他学科教师或班主任接受过培训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10人回答是、1人否、6人不清楚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已有培训基础，但覆盖和信息传达不完整。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6"/>
        </w:rPr>
        <w:t>注：百分比按各题有效样本计算；因四舍五入，合计可能不等于100%。</w:t>
      </w:r>
    </w:p>
    <w:p>
      <w:pPr/>
      <w:r>
        <w:rPr>
          <w:rFonts w:ascii="Times New Roman" w:hAnsi="Times New Roman" w:eastAsia="宋体"/>
          <w:b w:val="0"/>
          <w:sz w:val="21"/>
        </w:rPr>
        <w:t>心理教师资质信息尤其不清楚。在14名适用教师中，13人不清楚心理教师是否取得相关专业证书，1人回答没有。师资配置的回答也高度矛盾：6人认为全部为兼职，1人认为专兼结合，3人认为学校没有心理教师，7人不清楚；兼职人数从1名、2名、12名到35名不等。该结果不能用来确认学校实际有多少心理教师，却能明确说明普通教师并不掌握统一的师资配置和资质信息。</w:t>
      </w:r>
    </w:p>
    <w:p>
      <w:pPr>
        <w:pStyle w:val="Heading3"/>
      </w:pPr>
      <w:r>
        <w:rPr>
          <w:rFonts w:ascii="Times New Roman" w:hAnsi="Times New Roman" w:eastAsia="黑体"/>
          <w:b/>
          <w:sz w:val="21"/>
        </w:rPr>
        <w:t>5. 最大断点出现在转介、危机干预和工作保障</w:t>
      </w:r>
    </w:p>
    <w:p>
      <w:pPr>
        <w:pStyle w:val="表题"/>
      </w:pPr>
      <w:r>
        <w:rPr>
          <w:rFonts w:ascii="Times New Roman" w:hAnsi="Times New Roman" w:eastAsia="宋体"/>
          <w:b w:val="0"/>
          <w:sz w:val="18"/>
        </w:rPr>
        <w:t>表3  辅导、筛查、转介与危机链条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left w:val="nil"/>
          <w:bottom w:val="single" w:sz="12" w:color="000000"/>
          <w:right w:val="nil"/>
          <w:insideH w:val="nil"/>
          <w:insideV w:val="nil"/>
        </w:tblBorders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工作环节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是/积极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否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不清楚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bottom w:val="single" w:sz="8" w:color="000000"/>
            </w:tcBorders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解释</w:t>
            </w:r>
          </w:p>
        </w:tc>
      </w:tr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开展心理辅导活动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前端服务较普遍。</w:t>
            </w:r>
          </w:p>
        </w:tc>
      </w:tr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开展学生心理筛查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筛查基础较明确。</w:t>
            </w:r>
          </w:p>
        </w:tc>
      </w:tr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建立学生心理档案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多数认为有，但并非全员知晓。</w:t>
            </w:r>
          </w:p>
        </w:tc>
      </w:tr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重点学生转介渠道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11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后续转介路径高度不清晰。</w:t>
            </w:r>
          </w:p>
        </w:tc>
      </w:tr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辅导工作计入课时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13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劳动核算与制度保障不透明。</w:t>
            </w:r>
          </w:p>
        </w:tc>
      </w:tr>
      <w:tr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危机干预体系及制度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</w:t>
            </w:r>
          </w:p>
        </w:tc>
        <w:tc>
          <w:tcPr>
            <w:tcW w:type="dxa" w:w="17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危机制度是认知最薄弱的环节。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6"/>
        </w:rPr>
        <w:t>注：百分比按各题有效样本计算；因四舍五入，合计可能不等于100%。</w:t>
      </w:r>
    </w:p>
    <w:p>
      <w:pPr/>
      <w:r>
        <w:rPr>
          <w:rFonts w:ascii="Times New Roman" w:hAnsi="Times New Roman" w:eastAsia="宋体"/>
          <w:b w:val="0"/>
          <w:sz w:val="21"/>
        </w:rPr>
        <w:t>这一分布形成了非常清晰的工作链条：教师普遍知道学校会开展辅导和筛查，但对于筛查之后如何转介、出现危机时执行什么制度、辅导工作如何计入教师工作量，大多数人并不清楚。因此，问题不是完全缺少前端活动，而是后端支持链条和制度传达不足。</w:t>
      </w:r>
    </w:p>
    <w:p>
      <w:pPr/>
      <w:r>
        <w:rPr>
          <w:rFonts w:ascii="Times New Roman" w:hAnsi="Times New Roman" w:eastAsia="宋体"/>
          <w:b w:val="0"/>
          <w:sz w:val="21"/>
        </w:rPr>
        <w:t>危机处置的实际做法比正式制度更清楚：13人选择及时上报，12人选择由心理教师、德育教师、年级主任和班主任协同处理，7人选择家校联席会议。这说明学校可能已经依靠行政协同处理具体事件，但未形成或未向教师普及清晰、可复述的危机流程。</w:t>
      </w:r>
    </w:p>
    <w:p>
      <w:pPr>
        <w:pStyle w:val="Heading3"/>
      </w:pPr>
      <w:r>
        <w:rPr>
          <w:rFonts w:ascii="Times New Roman" w:hAnsi="Times New Roman" w:eastAsia="黑体"/>
          <w:b/>
          <w:sz w:val="21"/>
        </w:rPr>
        <w:t>6. 家校和社会协同存在，但评价分散</w:t>
      </w:r>
    </w:p>
    <w:p>
      <w:pPr/>
      <w:r>
        <w:rPr>
          <w:rFonts w:ascii="Times New Roman" w:hAnsi="Times New Roman" w:eastAsia="宋体"/>
          <w:b w:val="0"/>
          <w:sz w:val="21"/>
        </w:rPr>
        <w:t>关于家长对心理问题的了解和关心，7人认为绝大部分家长了解并关心，6人认为只有部分家长，3人认为较少或几乎没有，1人不清楚。家庭资源方面，5人认为较多，7人认为较少，1人认为基本没有合作，4人不清楚。社会合作方面，4人认为较多，7人认为偶尔有合作，2人认为基本没有，4人不清楚。教师之间分歧较大，说明不同教师接触家长和外部资源的机会不同，也可能反映合作主要集中在个别管理人员或特定活动中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</w:rPr>
        <w:t>（三）教师问卷阶段性结论</w:t>
      </w:r>
    </w:p>
    <w:p>
      <w:pPr/>
      <w:r>
        <w:rPr>
          <w:rFonts w:ascii="Times New Roman" w:hAnsi="Times New Roman" w:eastAsia="宋体"/>
          <w:b w:val="0"/>
          <w:sz w:val="21"/>
        </w:rPr>
        <w:t>教师问卷呈现的是“基础工作已经铺开，但专业化闭环尚未建立”。课程、活动、辅导和筛查得到多数教师确认，领导重视度也较高；真正薄弱的是心理师资配置的统一认知、专业证书、课程研发、重点学生转介、危机干预流程和辅导课时保障。教师培训意愿很高，因此短期内最可行的改进不是要求班主任承担更多，而是提供明确流程、实用培训、风险识别工具和可使用的转介清单。</w:t>
      </w:r>
    </w:p>
    <w:p>
      <w:pPr>
        <w:pStyle w:val="Heading1"/>
      </w:pPr>
      <w:r>
        <w:rPr>
          <w:rFonts w:ascii="Times New Roman" w:hAnsi="Times New Roman" w:eastAsia="黑体"/>
        </w:rPr>
        <w:t>四、材料与复核说明</w:t>
      </w:r>
    </w:p>
    <w:p>
      <w:r>
        <w:rPr>
          <w:rFonts w:ascii="Times New Roman" w:hAnsi="Times New Roman" w:eastAsia="宋体"/>
          <w:sz w:val="21"/>
        </w:rPr>
        <w:t>本报告与同名正式分析工作簿配套使用。编码员1与编码员2均对教师问卷的题内自由文本完成平行独立编码：两套材料分别覆盖28个相同的“教师ID×题号”单位，并按单位逐条对齐。由于编码员1采用简洁主题代码、编码员2采用初始代码—二级范畴—主题三级结构，本报告通过共同主题和材料边界进行交叉核对，不把未经统一的标签字面差异直接计算为Cohen’s kappa。</w:t>
      </w:r>
    </w:p>
    <w:sectPr w:rsidR="00FC693F" w:rsidRPr="0006063C" w:rsidSect="00034616"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表题">
    <w:name w:val="表题"/>
    <w:pPr>
      <w:spacing w:before="120" w:after="60"/>
      <w:ind w:firstLine="0"/>
      <w:jc w:val="center"/>
    </w:pPr>
    <w:rPr>
      <w:rFonts w:ascii="Times New Roman" w:hAnsi="Times New Roman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