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83D39" w14:textId="77777777" w:rsidR="00FA1481" w:rsidRDefault="00664A12" w:rsidP="00E40896">
      <w:pPr>
        <w:jc w:val="center"/>
        <w:rPr>
          <w:sz w:val="36"/>
          <w:szCs w:val="36"/>
        </w:rPr>
      </w:pPr>
      <w:r>
        <w:rPr>
          <w:noProof/>
          <w:sz w:val="36"/>
          <w:szCs w:val="36"/>
          <w:lang w:eastAsia="zh-CN"/>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369D9BFB" w:rsidR="00CE6EAA" w:rsidRPr="00BF1BF9" w:rsidRDefault="000C6F56" w:rsidP="00FF3503">
      <w:pPr>
        <w:spacing w:before="100" w:beforeAutospacing="1" w:after="100" w:afterAutospacing="1"/>
        <w:jc w:val="center"/>
        <w:rPr>
          <w:rFonts w:ascii="Myriad Pro" w:hAnsi="Myriad Pro"/>
          <w:i/>
          <w:sz w:val="22"/>
          <w:szCs w:val="22"/>
        </w:rPr>
      </w:pPr>
      <w:r>
        <w:rPr>
          <w:rFonts w:ascii="Myriad Pro" w:eastAsia="Times New Roman" w:hAnsi="Myriad Pro"/>
          <w:i/>
          <w:sz w:val="22"/>
          <w:szCs w:val="22"/>
        </w:rPr>
        <w:t>Water Resources Research</w:t>
      </w:r>
    </w:p>
    <w:p w14:paraId="2CB29489" w14:textId="77777777" w:rsidR="00FF3503" w:rsidRPr="00CE6EAA" w:rsidRDefault="00FF3503" w:rsidP="00FF3503">
      <w:pPr>
        <w:spacing w:before="100" w:beforeAutospacing="1" w:after="100" w:afterAutospacing="1"/>
        <w:jc w:val="center"/>
        <w:rPr>
          <w:rFonts w:ascii="Myriad Pro" w:hAnsi="Myriad Pro"/>
          <w:sz w:val="22"/>
          <w:szCs w:val="22"/>
        </w:rPr>
      </w:pPr>
      <w:r w:rsidRPr="00CE6EAA">
        <w:rPr>
          <w:rFonts w:ascii="Myriad Pro" w:hAnsi="Myriad Pro"/>
          <w:sz w:val="22"/>
          <w:szCs w:val="22"/>
        </w:rPr>
        <w:t>Supporting Information for</w:t>
      </w:r>
    </w:p>
    <w:p w14:paraId="59F910A1" w14:textId="39766163" w:rsidR="00FF3503" w:rsidRPr="00D8796A" w:rsidRDefault="004452FA" w:rsidP="00FF3503">
      <w:pPr>
        <w:spacing w:before="100" w:beforeAutospacing="1" w:after="100" w:afterAutospacing="1"/>
        <w:jc w:val="center"/>
        <w:rPr>
          <w:rFonts w:ascii="Myriad Pro" w:hAnsi="Myriad Pro"/>
          <w:b/>
          <w:szCs w:val="22"/>
        </w:rPr>
      </w:pPr>
      <w:r>
        <w:rPr>
          <w:rFonts w:ascii="Myriad Pro" w:hAnsi="Myriad Pro"/>
          <w:b/>
          <w:szCs w:val="22"/>
        </w:rPr>
        <w:t>Distinct Source Water Chemistry</w:t>
      </w:r>
      <w:r w:rsidR="00817129" w:rsidRPr="00D8796A">
        <w:rPr>
          <w:rFonts w:ascii="Myriad Pro" w:hAnsi="Myriad Pro"/>
          <w:b/>
          <w:szCs w:val="22"/>
        </w:rPr>
        <w:t xml:space="preserve"> Shapes Contrasting Concentration - Discharge Patterns</w:t>
      </w:r>
      <w:bookmarkStart w:id="0" w:name="_GoBack"/>
      <w:bookmarkEnd w:id="0"/>
    </w:p>
    <w:p w14:paraId="42FFC78E" w14:textId="40BFF6DC" w:rsidR="00FF3503" w:rsidRDefault="00D8796A" w:rsidP="00625B81">
      <w:pPr>
        <w:spacing w:before="100" w:beforeAutospacing="1" w:after="100" w:afterAutospacing="1"/>
        <w:jc w:val="center"/>
        <w:rPr>
          <w:rFonts w:ascii="Myriad Pro" w:hAnsi="Myriad Pro"/>
          <w:sz w:val="22"/>
          <w:szCs w:val="22"/>
        </w:rPr>
      </w:pPr>
      <w:r w:rsidRPr="00D8796A">
        <w:rPr>
          <w:rFonts w:ascii="Myriad Pro" w:hAnsi="Myriad Pro"/>
          <w:sz w:val="22"/>
          <w:szCs w:val="22"/>
        </w:rPr>
        <w:t>Wei Zhi</w:t>
      </w:r>
      <w:r w:rsidRPr="00D8796A">
        <w:rPr>
          <w:rFonts w:ascii="Myriad Pro" w:hAnsi="Myriad Pro"/>
          <w:sz w:val="22"/>
          <w:szCs w:val="22"/>
          <w:vertAlign w:val="superscript"/>
        </w:rPr>
        <w:t>1</w:t>
      </w:r>
      <w:r w:rsidRPr="00D8796A">
        <w:rPr>
          <w:rFonts w:ascii="Myriad Pro" w:hAnsi="Myriad Pro"/>
          <w:sz w:val="22"/>
          <w:szCs w:val="22"/>
        </w:rPr>
        <w:t xml:space="preserve">, </w:t>
      </w:r>
      <w:r w:rsidR="00625B81" w:rsidRPr="00D8796A">
        <w:rPr>
          <w:rFonts w:ascii="Myriad Pro" w:hAnsi="Myriad Pro"/>
          <w:sz w:val="22"/>
          <w:szCs w:val="22"/>
        </w:rPr>
        <w:t>Li Li</w:t>
      </w:r>
      <w:r w:rsidR="00625B81">
        <w:rPr>
          <w:rFonts w:ascii="Myriad Pro" w:hAnsi="Myriad Pro"/>
          <w:sz w:val="22"/>
          <w:szCs w:val="22"/>
          <w:vertAlign w:val="superscript"/>
        </w:rPr>
        <w:t>2</w:t>
      </w:r>
      <w:r w:rsidR="00625B81" w:rsidRPr="00D8796A">
        <w:rPr>
          <w:rFonts w:ascii="Myriad Pro" w:hAnsi="Myriad Pro"/>
          <w:sz w:val="22"/>
          <w:szCs w:val="22"/>
        </w:rPr>
        <w:t>*</w:t>
      </w:r>
      <w:r w:rsidR="00625B81">
        <w:rPr>
          <w:rFonts w:ascii="Myriad Pro" w:hAnsi="Myriad Pro"/>
          <w:sz w:val="22"/>
          <w:szCs w:val="22"/>
        </w:rPr>
        <w:t xml:space="preserve">, </w:t>
      </w:r>
      <w:proofErr w:type="spellStart"/>
      <w:r w:rsidRPr="00D8796A">
        <w:rPr>
          <w:rFonts w:ascii="Myriad Pro" w:hAnsi="Myriad Pro"/>
          <w:sz w:val="22"/>
          <w:szCs w:val="22"/>
        </w:rPr>
        <w:t>Wenming</w:t>
      </w:r>
      <w:proofErr w:type="spellEnd"/>
      <w:r w:rsidRPr="00D8796A">
        <w:rPr>
          <w:rFonts w:ascii="Myriad Pro" w:hAnsi="Myriad Pro"/>
          <w:sz w:val="22"/>
          <w:szCs w:val="22"/>
        </w:rPr>
        <w:t xml:space="preserve"> Dong</w:t>
      </w:r>
      <w:r w:rsidR="00625B81">
        <w:rPr>
          <w:rFonts w:ascii="Myriad Pro" w:hAnsi="Myriad Pro"/>
          <w:sz w:val="22"/>
          <w:szCs w:val="22"/>
          <w:vertAlign w:val="superscript"/>
        </w:rPr>
        <w:t>3</w:t>
      </w:r>
      <w:r w:rsidRPr="00D8796A">
        <w:rPr>
          <w:rFonts w:ascii="Myriad Pro" w:hAnsi="Myriad Pro"/>
          <w:sz w:val="22"/>
          <w:szCs w:val="22"/>
        </w:rPr>
        <w:t>, Wendy Brown</w:t>
      </w:r>
      <w:r w:rsidR="00625B81">
        <w:rPr>
          <w:rFonts w:ascii="Myriad Pro" w:hAnsi="Myriad Pro"/>
          <w:sz w:val="22"/>
          <w:szCs w:val="22"/>
          <w:vertAlign w:val="superscript"/>
        </w:rPr>
        <w:t>4</w:t>
      </w:r>
      <w:r w:rsidRPr="00D8796A">
        <w:rPr>
          <w:rFonts w:ascii="Myriad Pro" w:hAnsi="Myriad Pro"/>
          <w:sz w:val="22"/>
          <w:szCs w:val="22"/>
        </w:rPr>
        <w:t xml:space="preserve">, </w:t>
      </w:r>
      <w:r w:rsidR="00625B81" w:rsidRPr="00D8796A">
        <w:rPr>
          <w:rFonts w:ascii="Myriad Pro" w:hAnsi="Myriad Pro"/>
          <w:sz w:val="22"/>
          <w:szCs w:val="22"/>
        </w:rPr>
        <w:t>Jason Kaye</w:t>
      </w:r>
      <w:r w:rsidR="00625B81">
        <w:rPr>
          <w:rFonts w:ascii="Myriad Pro" w:hAnsi="Myriad Pro"/>
          <w:sz w:val="22"/>
          <w:szCs w:val="22"/>
          <w:vertAlign w:val="superscript"/>
        </w:rPr>
        <w:t>5</w:t>
      </w:r>
      <w:r w:rsidR="00625B81">
        <w:rPr>
          <w:rFonts w:ascii="Myriad Pro" w:hAnsi="Myriad Pro"/>
          <w:sz w:val="22"/>
          <w:szCs w:val="22"/>
        </w:rPr>
        <w:t>,</w:t>
      </w:r>
      <w:r w:rsidR="00625B81" w:rsidRPr="00625B81">
        <w:rPr>
          <w:rFonts w:ascii="Myriad Pro" w:hAnsi="Myriad Pro"/>
          <w:sz w:val="22"/>
          <w:szCs w:val="22"/>
        </w:rPr>
        <w:t xml:space="preserve"> </w:t>
      </w:r>
      <w:r w:rsidR="00625B81" w:rsidRPr="00D8796A">
        <w:rPr>
          <w:rFonts w:ascii="Myriad Pro" w:hAnsi="Myriad Pro"/>
          <w:sz w:val="22"/>
          <w:szCs w:val="22"/>
        </w:rPr>
        <w:t>Carl Steefel</w:t>
      </w:r>
      <w:r w:rsidR="00625B81">
        <w:rPr>
          <w:rFonts w:ascii="Myriad Pro" w:hAnsi="Myriad Pro"/>
          <w:sz w:val="22"/>
          <w:szCs w:val="22"/>
          <w:vertAlign w:val="superscript"/>
        </w:rPr>
        <w:t>3</w:t>
      </w:r>
      <w:r w:rsidR="00625B81">
        <w:rPr>
          <w:rFonts w:ascii="Myriad Pro" w:hAnsi="Myriad Pro"/>
          <w:sz w:val="22"/>
          <w:szCs w:val="22"/>
        </w:rPr>
        <w:t xml:space="preserve">, </w:t>
      </w:r>
      <w:r w:rsidRPr="00D8796A">
        <w:rPr>
          <w:rFonts w:ascii="Myriad Pro" w:hAnsi="Myriad Pro"/>
          <w:sz w:val="22"/>
          <w:szCs w:val="22"/>
        </w:rPr>
        <w:t>Kenneth H. Williams</w:t>
      </w:r>
      <w:r w:rsidR="00625B81">
        <w:rPr>
          <w:rFonts w:ascii="Myriad Pro" w:hAnsi="Myriad Pro"/>
          <w:sz w:val="22"/>
          <w:szCs w:val="22"/>
          <w:vertAlign w:val="superscript"/>
        </w:rPr>
        <w:t>3</w:t>
      </w:r>
      <w:r w:rsidRPr="00D8796A">
        <w:rPr>
          <w:rFonts w:ascii="Myriad Pro" w:hAnsi="Myriad Pro"/>
          <w:sz w:val="22"/>
          <w:szCs w:val="22"/>
          <w:vertAlign w:val="superscript"/>
        </w:rPr>
        <w:t>,</w:t>
      </w:r>
      <w:r w:rsidR="00625B81">
        <w:rPr>
          <w:rFonts w:ascii="Myriad Pro" w:hAnsi="Myriad Pro"/>
          <w:sz w:val="22"/>
          <w:szCs w:val="22"/>
          <w:vertAlign w:val="superscript"/>
        </w:rPr>
        <w:t>4</w:t>
      </w:r>
    </w:p>
    <w:p w14:paraId="758964ED" w14:textId="509020B2" w:rsidR="00D8796A" w:rsidRDefault="00D8796A" w:rsidP="00D8796A">
      <w:pPr>
        <w:spacing w:before="100" w:beforeAutospacing="1" w:after="100" w:afterAutospacing="1"/>
        <w:jc w:val="center"/>
        <w:rPr>
          <w:rFonts w:ascii="Myriad Pro" w:hAnsi="Myriad Pro"/>
          <w:sz w:val="18"/>
          <w:szCs w:val="18"/>
        </w:rPr>
      </w:pPr>
      <w:r w:rsidRPr="00625B81">
        <w:rPr>
          <w:rFonts w:ascii="Myriad Pro" w:hAnsi="Myriad Pro"/>
          <w:sz w:val="18"/>
          <w:szCs w:val="18"/>
          <w:vertAlign w:val="superscript"/>
        </w:rPr>
        <w:t>1</w:t>
      </w:r>
      <w:r>
        <w:rPr>
          <w:rFonts w:ascii="Myriad Pro" w:hAnsi="Myriad Pro"/>
          <w:sz w:val="18"/>
          <w:szCs w:val="18"/>
        </w:rPr>
        <w:t xml:space="preserve"> </w:t>
      </w:r>
      <w:r w:rsidRPr="00D8796A">
        <w:rPr>
          <w:rFonts w:ascii="Myriad Pro" w:hAnsi="Myriad Pro"/>
          <w:sz w:val="18"/>
          <w:szCs w:val="18"/>
        </w:rPr>
        <w:t>Department of Energy and Mineral Engineering, The Pennsylvania State University</w:t>
      </w:r>
    </w:p>
    <w:p w14:paraId="44432335" w14:textId="63CC82A7" w:rsidR="00625B81" w:rsidRPr="00D8796A" w:rsidRDefault="00625B81" w:rsidP="00625B81">
      <w:pPr>
        <w:spacing w:before="100" w:beforeAutospacing="1" w:after="100" w:afterAutospacing="1"/>
        <w:jc w:val="center"/>
        <w:rPr>
          <w:rFonts w:ascii="Myriad Pro" w:hAnsi="Myriad Pro"/>
          <w:sz w:val="18"/>
          <w:szCs w:val="18"/>
        </w:rPr>
      </w:pPr>
      <w:r w:rsidRPr="00625B81">
        <w:rPr>
          <w:rFonts w:ascii="Myriad Pro" w:hAnsi="Myriad Pro"/>
          <w:sz w:val="18"/>
          <w:szCs w:val="18"/>
          <w:vertAlign w:val="superscript"/>
        </w:rPr>
        <w:t>2</w:t>
      </w:r>
      <w:r w:rsidRPr="00D8796A">
        <w:rPr>
          <w:rFonts w:ascii="Myriad Pro" w:hAnsi="Myriad Pro"/>
          <w:sz w:val="18"/>
          <w:szCs w:val="18"/>
        </w:rPr>
        <w:t xml:space="preserve"> Department of Civil and Environmental Engineering, The Pennsylvania State University</w:t>
      </w:r>
    </w:p>
    <w:p w14:paraId="32F1BE9A" w14:textId="565C537F" w:rsidR="00D8796A" w:rsidRPr="00D8796A" w:rsidRDefault="00625B81" w:rsidP="00D8796A">
      <w:pPr>
        <w:spacing w:before="100" w:beforeAutospacing="1" w:after="100" w:afterAutospacing="1"/>
        <w:jc w:val="center"/>
        <w:rPr>
          <w:rFonts w:ascii="Myriad Pro" w:hAnsi="Myriad Pro"/>
          <w:sz w:val="18"/>
          <w:szCs w:val="18"/>
        </w:rPr>
      </w:pPr>
      <w:r w:rsidRPr="00625B81">
        <w:rPr>
          <w:rFonts w:ascii="Myriad Pro" w:hAnsi="Myriad Pro"/>
          <w:sz w:val="18"/>
          <w:szCs w:val="18"/>
          <w:vertAlign w:val="superscript"/>
        </w:rPr>
        <w:t>3</w:t>
      </w:r>
      <w:r w:rsidR="00D8796A" w:rsidRPr="00D8796A">
        <w:rPr>
          <w:rFonts w:ascii="Myriad Pro" w:hAnsi="Myriad Pro"/>
          <w:sz w:val="18"/>
          <w:szCs w:val="18"/>
        </w:rPr>
        <w:t xml:space="preserve"> Earth and Environmental Sciences Area, Lawrence Berkeley National Laboratory</w:t>
      </w:r>
    </w:p>
    <w:p w14:paraId="7F29E000" w14:textId="29006D9E" w:rsidR="00D8796A" w:rsidRPr="00D8796A" w:rsidRDefault="00625B81" w:rsidP="00D8796A">
      <w:pPr>
        <w:spacing w:before="100" w:beforeAutospacing="1" w:after="100" w:afterAutospacing="1"/>
        <w:jc w:val="center"/>
        <w:rPr>
          <w:rFonts w:ascii="Myriad Pro" w:hAnsi="Myriad Pro"/>
          <w:sz w:val="18"/>
          <w:szCs w:val="18"/>
        </w:rPr>
      </w:pPr>
      <w:r w:rsidRPr="00625B81">
        <w:rPr>
          <w:rFonts w:ascii="Myriad Pro" w:hAnsi="Myriad Pro"/>
          <w:sz w:val="18"/>
          <w:szCs w:val="18"/>
          <w:vertAlign w:val="superscript"/>
        </w:rPr>
        <w:t>4</w:t>
      </w:r>
      <w:r w:rsidR="00D8796A" w:rsidRPr="00D8796A">
        <w:rPr>
          <w:rFonts w:ascii="Myriad Pro" w:hAnsi="Myriad Pro"/>
          <w:sz w:val="18"/>
          <w:szCs w:val="18"/>
        </w:rPr>
        <w:t xml:space="preserve"> Rocky Mountain Biological Laboratory</w:t>
      </w:r>
    </w:p>
    <w:p w14:paraId="048359D6" w14:textId="36EC1D3B" w:rsidR="00D8796A" w:rsidRPr="00D8796A" w:rsidRDefault="00625B81" w:rsidP="00D8796A">
      <w:pPr>
        <w:spacing w:before="100" w:beforeAutospacing="1" w:after="100" w:afterAutospacing="1"/>
        <w:jc w:val="center"/>
        <w:rPr>
          <w:rFonts w:ascii="Myriad Pro" w:hAnsi="Myriad Pro"/>
          <w:sz w:val="18"/>
          <w:szCs w:val="18"/>
        </w:rPr>
      </w:pPr>
      <w:r w:rsidRPr="00625B81">
        <w:rPr>
          <w:rFonts w:ascii="Myriad Pro" w:hAnsi="Myriad Pro"/>
          <w:sz w:val="18"/>
          <w:szCs w:val="18"/>
          <w:vertAlign w:val="superscript"/>
        </w:rPr>
        <w:t>5</w:t>
      </w:r>
      <w:r w:rsidR="00D8796A" w:rsidRPr="00D8796A">
        <w:rPr>
          <w:rFonts w:ascii="Myriad Pro" w:hAnsi="Myriad Pro"/>
          <w:sz w:val="18"/>
          <w:szCs w:val="18"/>
        </w:rPr>
        <w:t xml:space="preserve"> Department of Ecosystem Science and Management, The Pennsylvania State University</w:t>
      </w:r>
    </w:p>
    <w:p w14:paraId="1D25731D" w14:textId="1F9FE67A" w:rsidR="00300BDC" w:rsidRPr="00B77E40" w:rsidRDefault="00300BDC" w:rsidP="00300BDC">
      <w:pPr>
        <w:spacing w:before="100" w:beforeAutospacing="1" w:after="100" w:afterAutospacing="1"/>
        <w:jc w:val="center"/>
        <w:rPr>
          <w:rFonts w:ascii="Myriad Pro" w:hAnsi="Myriad Pro"/>
          <w:sz w:val="18"/>
          <w:szCs w:val="18"/>
        </w:rPr>
      </w:pPr>
      <w:r w:rsidRPr="00300BDC">
        <w:rPr>
          <w:rFonts w:ascii="Myriad Pro" w:hAnsi="Myriad Pro"/>
          <w:sz w:val="18"/>
          <w:szCs w:val="18"/>
        </w:rPr>
        <w:t>*</w:t>
      </w:r>
      <w:r w:rsidR="00625B81">
        <w:rPr>
          <w:rFonts w:ascii="Myriad Pro" w:hAnsi="Myriad Pro"/>
          <w:sz w:val="18"/>
          <w:szCs w:val="18"/>
        </w:rPr>
        <w:t xml:space="preserve"> </w:t>
      </w:r>
      <w:r w:rsidRPr="00300BDC">
        <w:rPr>
          <w:rFonts w:ascii="Myriad Pro" w:hAnsi="Myriad Pro"/>
          <w:sz w:val="18"/>
          <w:szCs w:val="18"/>
        </w:rPr>
        <w:t xml:space="preserve">Corresponding author: Li </w:t>
      </w:r>
      <w:proofErr w:type="spellStart"/>
      <w:r w:rsidRPr="00300BDC">
        <w:rPr>
          <w:rFonts w:ascii="Myriad Pro" w:hAnsi="Myriad Pro"/>
          <w:sz w:val="18"/>
          <w:szCs w:val="18"/>
        </w:rPr>
        <w:t>Li</w:t>
      </w:r>
      <w:proofErr w:type="spellEnd"/>
      <w:r w:rsidRPr="00300BDC">
        <w:rPr>
          <w:rFonts w:ascii="Myriad Pro" w:hAnsi="Myriad Pro"/>
          <w:sz w:val="18"/>
          <w:szCs w:val="18"/>
        </w:rPr>
        <w:t xml:space="preserve"> (</w:t>
      </w:r>
      <w:hyperlink r:id="rId8" w:history="1">
        <w:r w:rsidRPr="00995297">
          <w:rPr>
            <w:rStyle w:val="Hyperlink"/>
            <w:rFonts w:ascii="Myriad Pro" w:hAnsi="Myriad Pro"/>
            <w:sz w:val="18"/>
            <w:szCs w:val="18"/>
          </w:rPr>
          <w:t>lili@engr.psu.edu</w:t>
        </w:r>
      </w:hyperlink>
      <w:r w:rsidRPr="00300BDC">
        <w:rPr>
          <w:rFonts w:ascii="Myriad Pro" w:hAnsi="Myriad Pro"/>
          <w:sz w:val="18"/>
          <w:szCs w:val="18"/>
        </w:rPr>
        <w:t>)</w:t>
      </w:r>
    </w:p>
    <w:p w14:paraId="71891EDF" w14:textId="77777777" w:rsidR="00094365" w:rsidRPr="00CE6EAA" w:rsidRDefault="00A50033" w:rsidP="00825950">
      <w:pPr>
        <w:spacing w:before="100" w:beforeAutospacing="1" w:after="100" w:afterAutospacing="1"/>
        <w:jc w:val="center"/>
        <w:rPr>
          <w:rFonts w:ascii="Myriad Pro" w:hAnsi="Myriad Pro"/>
          <w:sz w:val="22"/>
          <w:szCs w:val="22"/>
        </w:rPr>
      </w:pPr>
      <w:r w:rsidRPr="00CE6EAA" w:rsidDel="00A50033">
        <w:rPr>
          <w:rFonts w:ascii="Myriad Pro" w:hAnsi="Myriad Pro"/>
          <w:sz w:val="22"/>
          <w:szCs w:val="22"/>
        </w:rPr>
        <w:t xml:space="preserve"> </w:t>
      </w: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F13291B" w14:textId="4E1A92A1" w:rsidR="00E43D2D" w:rsidRPr="00DA00AF"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0D3DE79E" w14:textId="77777777" w:rsidR="00AE031F" w:rsidRDefault="00AE031F" w:rsidP="00111843">
      <w:pPr>
        <w:ind w:left="720"/>
        <w:rPr>
          <w:rFonts w:ascii="Myriad Pro" w:hAnsi="Myriad Pro"/>
          <w:sz w:val="22"/>
          <w:szCs w:val="22"/>
        </w:rPr>
      </w:pPr>
    </w:p>
    <w:p w14:paraId="3AE41078" w14:textId="61547411" w:rsidR="00AE61A9" w:rsidRDefault="00AE61A9" w:rsidP="00111843">
      <w:pPr>
        <w:ind w:left="720"/>
        <w:rPr>
          <w:rFonts w:ascii="Myriad Pro" w:hAnsi="Myriad Pro"/>
          <w:sz w:val="22"/>
          <w:szCs w:val="22"/>
        </w:rPr>
      </w:pPr>
      <w:r>
        <w:rPr>
          <w:rFonts w:ascii="Myriad Pro" w:hAnsi="Myriad Pro"/>
          <w:sz w:val="22"/>
          <w:szCs w:val="22"/>
        </w:rPr>
        <w:t>Text S1</w:t>
      </w:r>
    </w:p>
    <w:p w14:paraId="7FF59C25" w14:textId="25925450" w:rsidR="009F622E" w:rsidRDefault="009F622E" w:rsidP="00111843">
      <w:pPr>
        <w:ind w:left="720"/>
        <w:rPr>
          <w:rFonts w:ascii="Myriad Pro" w:hAnsi="Myriad Pro"/>
          <w:sz w:val="22"/>
          <w:szCs w:val="22"/>
        </w:rPr>
      </w:pPr>
      <w:r>
        <w:rPr>
          <w:rFonts w:ascii="Myriad Pro" w:hAnsi="Myriad Pro"/>
          <w:sz w:val="22"/>
          <w:szCs w:val="22"/>
        </w:rPr>
        <w:t>Text S2</w:t>
      </w:r>
    </w:p>
    <w:p w14:paraId="795CD27E" w14:textId="1A43B4BD" w:rsidR="00111843" w:rsidRDefault="00AE031F" w:rsidP="00AE61A9">
      <w:pPr>
        <w:ind w:left="720"/>
        <w:rPr>
          <w:rFonts w:ascii="Myriad Pro" w:hAnsi="Myriad Pro"/>
          <w:sz w:val="22"/>
          <w:szCs w:val="22"/>
        </w:rPr>
      </w:pPr>
      <w:r>
        <w:rPr>
          <w:rFonts w:ascii="Myriad Pro" w:hAnsi="Myriad Pro"/>
          <w:sz w:val="22"/>
          <w:szCs w:val="22"/>
        </w:rPr>
        <w:t>Table</w:t>
      </w:r>
      <w:r w:rsidR="00111843" w:rsidRPr="00CE6EAA">
        <w:rPr>
          <w:rFonts w:ascii="Myriad Pro" w:hAnsi="Myriad Pro"/>
          <w:sz w:val="22"/>
          <w:szCs w:val="22"/>
        </w:rPr>
        <w:t xml:space="preserve"> S1</w:t>
      </w:r>
    </w:p>
    <w:p w14:paraId="69A8CB4B" w14:textId="72AC3556" w:rsidR="00AE61A9" w:rsidRDefault="00AE61A9" w:rsidP="00AE61A9">
      <w:pPr>
        <w:ind w:left="720"/>
        <w:rPr>
          <w:rFonts w:ascii="Myriad Pro" w:hAnsi="Myriad Pro"/>
          <w:sz w:val="22"/>
          <w:szCs w:val="22"/>
        </w:rPr>
      </w:pPr>
    </w:p>
    <w:p w14:paraId="53871010" w14:textId="77777777" w:rsidR="00AE031F" w:rsidRPr="00AE61A9" w:rsidRDefault="00AE031F" w:rsidP="00AE61A9">
      <w:pPr>
        <w:ind w:left="720"/>
        <w:rPr>
          <w:rFonts w:ascii="Myriad Pro" w:hAnsi="Myriad Pro"/>
          <w:sz w:val="22"/>
          <w:szCs w:val="22"/>
        </w:rPr>
      </w:pPr>
    </w:p>
    <w:p w14:paraId="469B64BB" w14:textId="77777777" w:rsidR="00AE031F" w:rsidRDefault="00FF3503" w:rsidP="00553684">
      <w:pPr>
        <w:spacing w:before="100" w:beforeAutospacing="1" w:after="100" w:afterAutospacing="1"/>
        <w:rPr>
          <w:rFonts w:ascii="Myriad Pro" w:hAnsi="Myriad Pro"/>
          <w:b/>
          <w:szCs w:val="24"/>
        </w:rPr>
      </w:pPr>
      <w:r w:rsidRPr="00CE6EAA">
        <w:rPr>
          <w:rFonts w:ascii="Myriad Pro" w:hAnsi="Myriad Pro"/>
          <w:b/>
          <w:bCs/>
          <w:szCs w:val="24"/>
        </w:rPr>
        <w:t>Introduction</w:t>
      </w:r>
      <w:r w:rsidRPr="00CE6EAA">
        <w:rPr>
          <w:rFonts w:ascii="Myriad Pro" w:hAnsi="Myriad Pro"/>
          <w:b/>
          <w:szCs w:val="24"/>
        </w:rPr>
        <w:t xml:space="preserve"> </w:t>
      </w:r>
    </w:p>
    <w:p w14:paraId="218F825A" w14:textId="615B8A90" w:rsidR="00FF3503" w:rsidRPr="00AE031F" w:rsidRDefault="00553684" w:rsidP="00553684">
      <w:pPr>
        <w:spacing w:before="100" w:beforeAutospacing="1" w:after="100" w:afterAutospacing="1"/>
        <w:rPr>
          <w:rFonts w:ascii="Myriad Pro" w:hAnsi="Myriad Pro"/>
          <w:b/>
          <w:szCs w:val="24"/>
        </w:rPr>
      </w:pPr>
      <w:r>
        <w:rPr>
          <w:rFonts w:ascii="Myriad Pro" w:hAnsi="Myriad Pro"/>
          <w:sz w:val="22"/>
          <w:szCs w:val="22"/>
        </w:rPr>
        <w:t xml:space="preserve">The Supporting Information provides a complete list of solute species </w:t>
      </w:r>
      <w:r w:rsidR="00BC791C">
        <w:rPr>
          <w:rFonts w:ascii="Myriad Pro" w:hAnsi="Myriad Pro"/>
          <w:sz w:val="22"/>
          <w:szCs w:val="22"/>
        </w:rPr>
        <w:t>in the</w:t>
      </w:r>
      <w:r>
        <w:rPr>
          <w:rFonts w:ascii="Myriad Pro" w:hAnsi="Myriad Pro"/>
          <w:sz w:val="22"/>
          <w:szCs w:val="22"/>
        </w:rPr>
        <w:t xml:space="preserve"> high-frequency water chemistry dataset (Text S1), </w:t>
      </w:r>
      <w:r w:rsidR="009F622E">
        <w:rPr>
          <w:rFonts w:ascii="Myriad Pro" w:hAnsi="Myriad Pro"/>
          <w:sz w:val="22"/>
          <w:szCs w:val="22"/>
        </w:rPr>
        <w:t xml:space="preserve">sampling and measurement (Text S2), </w:t>
      </w:r>
      <w:r>
        <w:rPr>
          <w:rFonts w:ascii="Myriad Pro" w:hAnsi="Myriad Pro"/>
          <w:sz w:val="22"/>
          <w:szCs w:val="22"/>
        </w:rPr>
        <w:t>and a table with calibrated parameters (Table S1).</w:t>
      </w:r>
    </w:p>
    <w:p w14:paraId="19886F0B" w14:textId="77777777" w:rsidR="002C030F" w:rsidRPr="00E40896" w:rsidRDefault="002C030F">
      <w:pPr>
        <w:rPr>
          <w:rFonts w:ascii="Myriad Pro" w:hAnsi="Myriad Pro"/>
        </w:rPr>
      </w:pPr>
    </w:p>
    <w:p w14:paraId="2218C341" w14:textId="77777777" w:rsidR="00015F74" w:rsidRPr="00E40896" w:rsidRDefault="00015F74">
      <w:pPr>
        <w:rPr>
          <w:rFonts w:ascii="Myriad Pro" w:hAnsi="Myriad Pro"/>
          <w:b/>
        </w:rPr>
      </w:pPr>
    </w:p>
    <w:p w14:paraId="2B074851" w14:textId="77777777" w:rsidR="002C030F" w:rsidRPr="00E40896" w:rsidRDefault="002C030F">
      <w:pPr>
        <w:rPr>
          <w:rFonts w:ascii="Myriad Pro" w:hAnsi="Myriad Pro"/>
        </w:rPr>
      </w:pPr>
    </w:p>
    <w:p w14:paraId="516E0BA3" w14:textId="77777777" w:rsidR="0020183F" w:rsidRDefault="0020183F"/>
    <w:p w14:paraId="6437CAC2" w14:textId="21FD0A88" w:rsidR="00607BEE" w:rsidRPr="00BC791C" w:rsidRDefault="00015F74" w:rsidP="00607BEE">
      <w:pPr>
        <w:pStyle w:val="SMHeading"/>
        <w:spacing w:before="0" w:after="0" w:line="360" w:lineRule="auto"/>
        <w:jc w:val="both"/>
        <w:rPr>
          <w:rFonts w:ascii="Myriad Pro" w:hAnsi="Myriad Pro"/>
          <w:b w:val="0"/>
          <w:szCs w:val="22"/>
        </w:rPr>
      </w:pPr>
      <w:r w:rsidRPr="00553684">
        <w:rPr>
          <w:rFonts w:ascii="Myriad Pro" w:hAnsi="Myriad Pro"/>
          <w:szCs w:val="22"/>
        </w:rPr>
        <w:t>Text</w:t>
      </w:r>
      <w:r w:rsidR="00D60BB0" w:rsidRPr="00553684">
        <w:rPr>
          <w:rFonts w:ascii="Myriad Pro" w:hAnsi="Myriad Pro"/>
          <w:szCs w:val="22"/>
        </w:rPr>
        <w:t xml:space="preserve"> S1</w:t>
      </w:r>
      <w:r w:rsidR="00D60BB0">
        <w:rPr>
          <w:rFonts w:ascii="Myriad Pro" w:hAnsi="Myriad Pro"/>
          <w:sz w:val="22"/>
          <w:szCs w:val="22"/>
        </w:rPr>
        <w:t>.</w:t>
      </w:r>
      <w:r w:rsidR="00BC791C">
        <w:rPr>
          <w:rFonts w:ascii="Myriad Pro" w:hAnsi="Myriad Pro"/>
          <w:sz w:val="22"/>
          <w:szCs w:val="22"/>
        </w:rPr>
        <w:t xml:space="preserve"> </w:t>
      </w:r>
      <w:r w:rsidR="00BC791C" w:rsidRPr="00BC791C">
        <w:rPr>
          <w:rFonts w:ascii="Myriad Pro" w:hAnsi="Myriad Pro"/>
          <w:b w:val="0"/>
          <w:szCs w:val="22"/>
        </w:rPr>
        <w:t>A complete list of solute species in the high-freque</w:t>
      </w:r>
      <w:r w:rsidR="00BC791C">
        <w:rPr>
          <w:rFonts w:ascii="Myriad Pro" w:hAnsi="Myriad Pro"/>
          <w:b w:val="0"/>
          <w:szCs w:val="22"/>
        </w:rPr>
        <w:t>n</w:t>
      </w:r>
      <w:r w:rsidR="00BC791C" w:rsidRPr="00BC791C">
        <w:rPr>
          <w:rFonts w:ascii="Myriad Pro" w:hAnsi="Myriad Pro"/>
          <w:b w:val="0"/>
          <w:szCs w:val="22"/>
        </w:rPr>
        <w:t xml:space="preserve">cy </w:t>
      </w:r>
      <w:r w:rsidR="00BC791C">
        <w:rPr>
          <w:rFonts w:ascii="Myriad Pro" w:hAnsi="Myriad Pro"/>
          <w:b w:val="0"/>
          <w:szCs w:val="22"/>
        </w:rPr>
        <w:t>water c</w:t>
      </w:r>
      <w:r w:rsidR="00607BEE">
        <w:rPr>
          <w:rFonts w:ascii="Myriad Pro" w:hAnsi="Myriad Pro"/>
          <w:b w:val="0"/>
          <w:szCs w:val="22"/>
        </w:rPr>
        <w:t xml:space="preserve">hemistry </w:t>
      </w:r>
      <w:r w:rsidR="00BC791C">
        <w:rPr>
          <w:rFonts w:ascii="Myriad Pro" w:hAnsi="Myriad Pro"/>
          <w:b w:val="0"/>
          <w:szCs w:val="22"/>
        </w:rPr>
        <w:t>dataset.</w:t>
      </w:r>
    </w:p>
    <w:p w14:paraId="7989F094" w14:textId="5463ABD1" w:rsidR="00355362" w:rsidRDefault="00607BEE" w:rsidP="00607BEE">
      <w:pPr>
        <w:pStyle w:val="SMText"/>
        <w:spacing w:line="360" w:lineRule="auto"/>
        <w:ind w:firstLine="0"/>
        <w:jc w:val="both"/>
        <w:rPr>
          <w:rFonts w:ascii="Myriad Pro" w:hAnsi="Myriad Pro"/>
          <w:sz w:val="22"/>
          <w:szCs w:val="22"/>
        </w:rPr>
      </w:pPr>
      <w:r>
        <w:rPr>
          <w:rFonts w:ascii="Arial" w:hAnsi="Arial" w:cs="Arial"/>
          <w:sz w:val="22"/>
          <w:szCs w:val="22"/>
        </w:rPr>
        <w:t xml:space="preserve">        </w:t>
      </w:r>
      <w:r w:rsidR="00BC791C" w:rsidRPr="003B2AA0">
        <w:rPr>
          <w:rFonts w:ascii="Arial" w:hAnsi="Arial" w:cs="Arial"/>
          <w:sz w:val="22"/>
          <w:szCs w:val="22"/>
        </w:rPr>
        <w:t>The high-fre</w:t>
      </w:r>
      <w:r w:rsidR="003B2AA0" w:rsidRPr="003B2AA0">
        <w:rPr>
          <w:rFonts w:ascii="Arial" w:hAnsi="Arial" w:cs="Arial"/>
          <w:sz w:val="22"/>
          <w:szCs w:val="22"/>
        </w:rPr>
        <w:t>quency water chemistry dataset measured a total of more than 40 solute species including:</w:t>
      </w:r>
      <w:r w:rsidR="003B2AA0">
        <w:rPr>
          <w:rFonts w:ascii="Arial" w:hAnsi="Arial" w:cs="Arial"/>
          <w:sz w:val="22"/>
          <w:szCs w:val="22"/>
        </w:rPr>
        <w:t xml:space="preserve"> dissolved organic carbon (DOC), dissolved total nitrogen (DTN), dissolved inorganic carbon (DIC), chloride (Cl), sulfate (SO</w:t>
      </w:r>
      <w:r w:rsidR="003B2AA0" w:rsidRPr="003B2AA0">
        <w:rPr>
          <w:rFonts w:ascii="Arial" w:hAnsi="Arial" w:cs="Arial"/>
          <w:sz w:val="22"/>
          <w:szCs w:val="22"/>
          <w:vertAlign w:val="subscript"/>
        </w:rPr>
        <w:t>4</w:t>
      </w:r>
      <w:r w:rsidR="003B2AA0" w:rsidRPr="003B2AA0">
        <w:rPr>
          <w:rFonts w:ascii="Arial" w:hAnsi="Arial" w:cs="Arial"/>
          <w:sz w:val="22"/>
          <w:szCs w:val="22"/>
          <w:vertAlign w:val="superscript"/>
        </w:rPr>
        <w:t>2-</w:t>
      </w:r>
      <w:r w:rsidR="003B2AA0" w:rsidRPr="003B2AA0">
        <w:rPr>
          <w:rFonts w:ascii="Arial" w:hAnsi="Arial" w:cs="Arial"/>
          <w:sz w:val="22"/>
          <w:szCs w:val="22"/>
        </w:rPr>
        <w:t>)</w:t>
      </w:r>
      <w:r w:rsidR="003B2AA0">
        <w:rPr>
          <w:rFonts w:ascii="Arial" w:hAnsi="Arial" w:cs="Arial"/>
          <w:sz w:val="22"/>
          <w:szCs w:val="22"/>
        </w:rPr>
        <w:t xml:space="preserve">, </w:t>
      </w:r>
      <w:r>
        <w:rPr>
          <w:rFonts w:ascii="Arial" w:hAnsi="Arial" w:cs="Arial"/>
          <w:sz w:val="22"/>
          <w:szCs w:val="22"/>
        </w:rPr>
        <w:t>nitrate (NO</w:t>
      </w:r>
      <w:r w:rsidRPr="00607BEE">
        <w:rPr>
          <w:rFonts w:ascii="Arial" w:hAnsi="Arial" w:cs="Arial"/>
          <w:sz w:val="22"/>
          <w:szCs w:val="22"/>
          <w:vertAlign w:val="subscript"/>
        </w:rPr>
        <w:t>3</w:t>
      </w:r>
      <w:r w:rsidRPr="00607BEE">
        <w:rPr>
          <w:rFonts w:ascii="Arial" w:hAnsi="Arial" w:cs="Arial"/>
          <w:sz w:val="22"/>
          <w:szCs w:val="22"/>
          <w:vertAlign w:val="superscript"/>
        </w:rPr>
        <w:t>-</w:t>
      </w:r>
      <w:r>
        <w:rPr>
          <w:rFonts w:ascii="Arial" w:hAnsi="Arial" w:cs="Arial"/>
          <w:sz w:val="22"/>
          <w:szCs w:val="22"/>
        </w:rPr>
        <w:t xml:space="preserve">), </w:t>
      </w:r>
      <w:r w:rsidR="00BC791C" w:rsidRPr="00607BEE">
        <w:rPr>
          <w:rFonts w:ascii="Arial" w:hAnsi="Arial" w:cs="Arial"/>
          <w:sz w:val="22"/>
          <w:szCs w:val="22"/>
        </w:rPr>
        <w:t>sodium (Na),</w:t>
      </w:r>
      <w:r w:rsidRPr="00607BEE">
        <w:rPr>
          <w:rFonts w:ascii="Arial" w:hAnsi="Arial" w:cs="Arial"/>
          <w:sz w:val="22"/>
          <w:szCs w:val="22"/>
        </w:rPr>
        <w:t xml:space="preserve"> calcium (Ca</w:t>
      </w:r>
      <w:r w:rsidRPr="00607BEE">
        <w:rPr>
          <w:rFonts w:ascii="Arial" w:hAnsi="Arial" w:cs="Arial" w:hint="eastAsia"/>
          <w:sz w:val="22"/>
          <w:szCs w:val="22"/>
        </w:rPr>
        <w:t xml:space="preserve">), </w:t>
      </w:r>
      <w:r w:rsidR="00BC791C" w:rsidRPr="00607BEE">
        <w:rPr>
          <w:rFonts w:ascii="Arial" w:hAnsi="Arial" w:cs="Arial"/>
          <w:sz w:val="22"/>
          <w:szCs w:val="22"/>
        </w:rPr>
        <w:t>magnesium (Mg), zinc (Zn), manganese (Mn), cadmium (Cd), aluminum (Al), silicon (Si), potassium (K), iron (Fe), copper (Cu), lead (Pb), silver (Ag), arsenic (As), selenium (Se), tin (Sn), antimony (Sb),  cobalt (Co), boron (B), barium (Ba), chromium (Cr), strontium (</w:t>
      </w:r>
      <w:proofErr w:type="spellStart"/>
      <w:r w:rsidR="00BC791C" w:rsidRPr="00607BEE">
        <w:rPr>
          <w:rFonts w:ascii="Arial" w:hAnsi="Arial" w:cs="Arial"/>
          <w:sz w:val="22"/>
          <w:szCs w:val="22"/>
        </w:rPr>
        <w:t>Sr</w:t>
      </w:r>
      <w:proofErr w:type="spellEnd"/>
      <w:r w:rsidR="00BC791C" w:rsidRPr="00607BEE">
        <w:rPr>
          <w:rFonts w:ascii="Arial" w:hAnsi="Arial" w:cs="Arial"/>
          <w:sz w:val="22"/>
          <w:szCs w:val="22"/>
        </w:rPr>
        <w:t>), zirconium (</w:t>
      </w:r>
      <w:proofErr w:type="spellStart"/>
      <w:r w:rsidR="00BC791C" w:rsidRPr="00607BEE">
        <w:rPr>
          <w:rFonts w:ascii="Arial" w:hAnsi="Arial" w:cs="Arial"/>
          <w:sz w:val="22"/>
          <w:szCs w:val="22"/>
        </w:rPr>
        <w:t>Zr</w:t>
      </w:r>
      <w:proofErr w:type="spellEnd"/>
      <w:r w:rsidR="00BC791C" w:rsidRPr="00607BEE">
        <w:rPr>
          <w:rFonts w:ascii="Arial" w:hAnsi="Arial" w:cs="Arial"/>
          <w:sz w:val="22"/>
          <w:szCs w:val="22"/>
        </w:rPr>
        <w:t>), molybdenum (Mo), cesium (Cs), uranium (U), titanium (Ti), germanium (Ge), rubidium (</w:t>
      </w:r>
      <w:proofErr w:type="spellStart"/>
      <w:r w:rsidR="00BC791C" w:rsidRPr="00607BEE">
        <w:rPr>
          <w:rFonts w:ascii="Arial" w:hAnsi="Arial" w:cs="Arial"/>
          <w:sz w:val="22"/>
          <w:szCs w:val="22"/>
        </w:rPr>
        <w:t>Rb</w:t>
      </w:r>
      <w:proofErr w:type="spellEnd"/>
      <w:r w:rsidR="00BC791C" w:rsidRPr="00607BEE">
        <w:rPr>
          <w:rFonts w:ascii="Arial" w:hAnsi="Arial" w:cs="Arial"/>
          <w:sz w:val="22"/>
          <w:szCs w:val="22"/>
        </w:rPr>
        <w:t>), europium (</w:t>
      </w:r>
      <w:proofErr w:type="spellStart"/>
      <w:r w:rsidR="00BC791C" w:rsidRPr="00607BEE">
        <w:rPr>
          <w:rFonts w:ascii="Arial" w:hAnsi="Arial" w:cs="Arial"/>
          <w:sz w:val="22"/>
          <w:szCs w:val="22"/>
        </w:rPr>
        <w:t>Eu</w:t>
      </w:r>
      <w:proofErr w:type="spellEnd"/>
      <w:r w:rsidR="00BC791C" w:rsidRPr="00607BEE">
        <w:rPr>
          <w:rFonts w:ascii="Arial" w:hAnsi="Arial" w:cs="Arial"/>
          <w:sz w:val="22"/>
          <w:szCs w:val="22"/>
        </w:rPr>
        <w:t>), thorium (</w:t>
      </w:r>
      <w:proofErr w:type="spellStart"/>
      <w:r w:rsidR="00BC791C" w:rsidRPr="00607BEE">
        <w:rPr>
          <w:rFonts w:ascii="Arial" w:hAnsi="Arial" w:cs="Arial"/>
          <w:sz w:val="22"/>
          <w:szCs w:val="22"/>
        </w:rPr>
        <w:t>Th</w:t>
      </w:r>
      <w:proofErr w:type="spellEnd"/>
      <w:r w:rsidR="00BC791C" w:rsidRPr="00607BEE">
        <w:rPr>
          <w:rFonts w:ascii="Arial" w:hAnsi="Arial" w:cs="Arial"/>
          <w:sz w:val="22"/>
          <w:szCs w:val="22"/>
        </w:rPr>
        <w:t>), lithium (Li), beryllium (Be), vanadium (V), and nickel (Ni).</w:t>
      </w:r>
      <w:r w:rsidR="009F7D93" w:rsidRPr="00CE6EAA">
        <w:rPr>
          <w:rFonts w:ascii="Myriad Pro" w:hAnsi="Myriad Pro"/>
          <w:sz w:val="22"/>
          <w:szCs w:val="22"/>
        </w:rPr>
        <w:t xml:space="preserve"> </w:t>
      </w:r>
    </w:p>
    <w:p w14:paraId="0EC35722" w14:textId="035CC095" w:rsidR="009F622E" w:rsidRDefault="009F622E" w:rsidP="00607BEE">
      <w:pPr>
        <w:pStyle w:val="SMText"/>
        <w:spacing w:line="360" w:lineRule="auto"/>
        <w:ind w:firstLine="0"/>
        <w:jc w:val="both"/>
        <w:rPr>
          <w:rFonts w:ascii="Myriad Pro" w:hAnsi="Myriad Pro"/>
          <w:sz w:val="22"/>
          <w:szCs w:val="22"/>
        </w:rPr>
      </w:pPr>
    </w:p>
    <w:p w14:paraId="1854D864" w14:textId="25F33224" w:rsidR="009F622E" w:rsidRPr="009F622E" w:rsidRDefault="009F622E" w:rsidP="009F622E">
      <w:pPr>
        <w:pStyle w:val="SMHeading"/>
        <w:spacing w:before="0" w:after="0" w:line="360" w:lineRule="auto"/>
        <w:jc w:val="both"/>
        <w:rPr>
          <w:rFonts w:ascii="Myriad Pro" w:hAnsi="Myriad Pro"/>
          <w:b w:val="0"/>
          <w:szCs w:val="22"/>
        </w:rPr>
      </w:pPr>
      <w:r w:rsidRPr="00553684">
        <w:rPr>
          <w:rFonts w:ascii="Myriad Pro" w:hAnsi="Myriad Pro"/>
          <w:szCs w:val="22"/>
        </w:rPr>
        <w:t>Text S</w:t>
      </w:r>
      <w:r>
        <w:rPr>
          <w:rFonts w:ascii="Myriad Pro" w:hAnsi="Myriad Pro"/>
          <w:szCs w:val="22"/>
        </w:rPr>
        <w:t>2</w:t>
      </w:r>
      <w:r>
        <w:rPr>
          <w:rFonts w:ascii="Myriad Pro" w:hAnsi="Myriad Pro"/>
          <w:sz w:val="22"/>
          <w:szCs w:val="22"/>
        </w:rPr>
        <w:t xml:space="preserve">. </w:t>
      </w:r>
      <w:r>
        <w:rPr>
          <w:rFonts w:ascii="Myriad Pro" w:hAnsi="Myriad Pro"/>
          <w:b w:val="0"/>
          <w:szCs w:val="22"/>
        </w:rPr>
        <w:t>Sampling and measurement</w:t>
      </w:r>
      <w:r>
        <w:rPr>
          <w:rFonts w:ascii="Myriad Pro" w:hAnsi="Myriad Pro"/>
          <w:b w:val="0"/>
          <w:szCs w:val="22"/>
        </w:rPr>
        <w:t>.</w:t>
      </w:r>
    </w:p>
    <w:p w14:paraId="647D4EEC" w14:textId="534C70C9" w:rsidR="00B206C6" w:rsidRPr="00607BEE" w:rsidRDefault="00B206C6" w:rsidP="00B206C6">
      <w:pPr>
        <w:pStyle w:val="SMText"/>
        <w:spacing w:line="360" w:lineRule="auto"/>
        <w:ind w:firstLine="720"/>
        <w:jc w:val="both"/>
        <w:rPr>
          <w:rFonts w:ascii="Arial" w:hAnsi="Arial" w:cs="Arial"/>
          <w:sz w:val="22"/>
          <w:szCs w:val="22"/>
        </w:rPr>
      </w:pPr>
      <w:bookmarkStart w:id="1" w:name="_Hlk536545262"/>
      <w:r w:rsidRPr="00B206C6">
        <w:rPr>
          <w:rFonts w:ascii="Arial" w:hAnsi="Arial" w:cs="Arial"/>
          <w:sz w:val="22"/>
          <w:szCs w:val="22"/>
        </w:rPr>
        <w:t xml:space="preserve">Stream water samples were collected using an automatic water sampler (Model 3700; Teledyne ISCO, NE, USA). Samples were pumped via peristaltic pump into uncapped 1-L polyethylene bottles and retrieved at regular intervals. Bulk samples were filtered using 0.45 mm Hydrophilic </w:t>
      </w:r>
      <w:proofErr w:type="spellStart"/>
      <w:r w:rsidRPr="00B206C6">
        <w:rPr>
          <w:rFonts w:ascii="Arial" w:hAnsi="Arial" w:cs="Arial"/>
          <w:sz w:val="22"/>
          <w:szCs w:val="22"/>
        </w:rPr>
        <w:t>Polyvinylidene</w:t>
      </w:r>
      <w:proofErr w:type="spellEnd"/>
      <w:r w:rsidRPr="00B206C6">
        <w:rPr>
          <w:rFonts w:ascii="Arial" w:hAnsi="Arial" w:cs="Arial"/>
          <w:sz w:val="22"/>
          <w:szCs w:val="22"/>
        </w:rPr>
        <w:t xml:space="preserve"> Fluoride (PVDF) syringe filters into individual vials. </w:t>
      </w:r>
      <w:bookmarkEnd w:id="1"/>
      <w:r w:rsidRPr="00B206C6">
        <w:rPr>
          <w:rFonts w:ascii="Arial" w:hAnsi="Arial" w:cs="Arial"/>
          <w:sz w:val="22"/>
          <w:szCs w:val="22"/>
        </w:rPr>
        <w:t>DTN was analyzed using a Shimadzu total nitrogen measurement unit (TNM-1). Cation concentrations were measured using inductively coupled plasma mass spectrometry (ICP-MS) (Elan DRC II, PerkinElmer SCIEX, USA). Total DOC concentrations were determined using a TOC-VCPH analyzer (Shimadzu Corporation, Japan). DOC was analyzed as non-</w:t>
      </w:r>
      <w:proofErr w:type="spellStart"/>
      <w:r w:rsidRPr="00B206C6">
        <w:rPr>
          <w:rFonts w:ascii="Arial" w:hAnsi="Arial" w:cs="Arial"/>
          <w:sz w:val="22"/>
          <w:szCs w:val="22"/>
        </w:rPr>
        <w:t>purgeable</w:t>
      </w:r>
      <w:proofErr w:type="spellEnd"/>
      <w:r w:rsidRPr="00B206C6">
        <w:rPr>
          <w:rFonts w:ascii="Arial" w:hAnsi="Arial" w:cs="Arial"/>
          <w:sz w:val="22"/>
          <w:szCs w:val="22"/>
        </w:rPr>
        <w:t xml:space="preserve"> organic carbon (NPOC) by purging acidified samples with carbon-free air to remove DIC prior to measurements.</w:t>
      </w:r>
    </w:p>
    <w:p w14:paraId="32123FDF" w14:textId="01291D4A" w:rsidR="007A3093" w:rsidRDefault="007A3093" w:rsidP="00EF25A3">
      <w:pPr>
        <w:pStyle w:val="SMText"/>
        <w:ind w:firstLine="0"/>
        <w:rPr>
          <w:rFonts w:ascii="Myriad Pro" w:hAnsi="Myriad Pro"/>
          <w:sz w:val="22"/>
          <w:szCs w:val="22"/>
        </w:rPr>
      </w:pPr>
    </w:p>
    <w:p w14:paraId="7B771760" w14:textId="77777777" w:rsidR="00DA00AF" w:rsidRDefault="00DA00AF" w:rsidP="006237D4">
      <w:pPr>
        <w:pStyle w:val="SMcaption"/>
        <w:rPr>
          <w:rFonts w:ascii="Myriad Pro" w:hAnsi="Myriad Pro"/>
          <w:sz w:val="22"/>
          <w:szCs w:val="22"/>
        </w:rPr>
        <w:sectPr w:rsidR="00DA00AF" w:rsidSect="00F125EE">
          <w:headerReference w:type="default" r:id="rId9"/>
          <w:footerReference w:type="default" r:id="rId10"/>
          <w:pgSz w:w="12240" w:h="15840"/>
          <w:pgMar w:top="1440" w:right="1800" w:bottom="1440" w:left="1800" w:header="720" w:footer="720" w:gutter="0"/>
          <w:pgNumType w:start="1"/>
          <w:cols w:space="720"/>
          <w:docGrid w:linePitch="360"/>
        </w:sectPr>
      </w:pPr>
    </w:p>
    <w:p w14:paraId="027C2AAB" w14:textId="6EA64377" w:rsidR="000C6F56" w:rsidRDefault="000C6F56" w:rsidP="006237D4">
      <w:pPr>
        <w:pStyle w:val="SMcaption"/>
        <w:rPr>
          <w:rFonts w:ascii="Myriad Pro" w:hAnsi="Myriad Pro"/>
          <w:sz w:val="22"/>
          <w:szCs w:val="22"/>
        </w:rPr>
      </w:pPr>
    </w:p>
    <w:p w14:paraId="3EC89A0A" w14:textId="56848B92" w:rsidR="000C6F56" w:rsidRPr="00553684" w:rsidRDefault="000C6F56" w:rsidP="000C6F56">
      <w:pPr>
        <w:autoSpaceDE w:val="0"/>
        <w:autoSpaceDN w:val="0"/>
        <w:adjustRightInd w:val="0"/>
        <w:spacing w:line="360" w:lineRule="auto"/>
        <w:jc w:val="center"/>
        <w:rPr>
          <w:rFonts w:ascii="Arial" w:hAnsi="Arial" w:cs="Arial"/>
          <w:sz w:val="22"/>
        </w:rPr>
      </w:pPr>
      <w:r w:rsidRPr="00553684">
        <w:rPr>
          <w:rFonts w:ascii="Arial" w:hAnsi="Arial" w:cs="Arial"/>
          <w:b/>
          <w:sz w:val="22"/>
        </w:rPr>
        <w:t>Table S1</w:t>
      </w:r>
    </w:p>
    <w:tbl>
      <w:tblPr>
        <w:tblStyle w:val="TableGrid"/>
        <w:tblW w:w="510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1485"/>
        <w:gridCol w:w="1316"/>
        <w:gridCol w:w="4130"/>
      </w:tblGrid>
      <w:tr w:rsidR="00D8796A" w:rsidRPr="00851C91" w14:paraId="3EA1F66B" w14:textId="33E37455" w:rsidTr="00C44974">
        <w:trPr>
          <w:jc w:val="center"/>
        </w:trPr>
        <w:tc>
          <w:tcPr>
            <w:tcW w:w="1071" w:type="pct"/>
            <w:tcBorders>
              <w:top w:val="single" w:sz="4" w:space="0" w:color="auto"/>
              <w:bottom w:val="single" w:sz="4" w:space="0" w:color="auto"/>
            </w:tcBorders>
          </w:tcPr>
          <w:p w14:paraId="30CA3751" w14:textId="77777777" w:rsidR="00D8796A" w:rsidRPr="00300BDC" w:rsidRDefault="00D8796A" w:rsidP="0091208B">
            <w:pPr>
              <w:autoSpaceDE w:val="0"/>
              <w:autoSpaceDN w:val="0"/>
              <w:adjustRightInd w:val="0"/>
              <w:spacing w:line="360" w:lineRule="auto"/>
              <w:rPr>
                <w:rFonts w:ascii="Arial" w:hAnsi="Arial" w:cs="Arial"/>
                <w:sz w:val="22"/>
              </w:rPr>
            </w:pPr>
            <w:r w:rsidRPr="00300BDC">
              <w:rPr>
                <w:rFonts w:ascii="Arial" w:hAnsi="Arial" w:cs="Arial"/>
                <w:sz w:val="22"/>
              </w:rPr>
              <w:t>Watershed characteristics</w:t>
            </w:r>
          </w:p>
        </w:tc>
        <w:tc>
          <w:tcPr>
            <w:tcW w:w="842" w:type="pct"/>
            <w:tcBorders>
              <w:top w:val="single" w:sz="4" w:space="0" w:color="auto"/>
              <w:bottom w:val="single" w:sz="4" w:space="0" w:color="auto"/>
            </w:tcBorders>
          </w:tcPr>
          <w:p w14:paraId="58B8F56B" w14:textId="77777777" w:rsidR="00D8796A" w:rsidRPr="00300BDC" w:rsidRDefault="00D8796A" w:rsidP="0091208B">
            <w:pPr>
              <w:autoSpaceDE w:val="0"/>
              <w:autoSpaceDN w:val="0"/>
              <w:adjustRightInd w:val="0"/>
              <w:spacing w:line="360" w:lineRule="auto"/>
              <w:rPr>
                <w:rFonts w:ascii="Arial" w:hAnsi="Arial" w:cs="Arial"/>
                <w:sz w:val="22"/>
              </w:rPr>
            </w:pPr>
            <w:r w:rsidRPr="00300BDC">
              <w:rPr>
                <w:rFonts w:ascii="Arial" w:hAnsi="Arial" w:cs="Arial"/>
                <w:sz w:val="22"/>
              </w:rPr>
              <w:t>Parameters</w:t>
            </w:r>
          </w:p>
        </w:tc>
        <w:tc>
          <w:tcPr>
            <w:tcW w:w="746" w:type="pct"/>
            <w:tcBorders>
              <w:top w:val="single" w:sz="4" w:space="0" w:color="auto"/>
              <w:bottom w:val="single" w:sz="4" w:space="0" w:color="auto"/>
            </w:tcBorders>
          </w:tcPr>
          <w:p w14:paraId="4AABDF4A" w14:textId="77777777" w:rsidR="00D8796A" w:rsidRPr="00300BDC" w:rsidRDefault="00D8796A" w:rsidP="0091208B">
            <w:pPr>
              <w:autoSpaceDE w:val="0"/>
              <w:autoSpaceDN w:val="0"/>
              <w:adjustRightInd w:val="0"/>
              <w:spacing w:line="360" w:lineRule="auto"/>
              <w:rPr>
                <w:rFonts w:ascii="Arial" w:hAnsi="Arial" w:cs="Arial"/>
                <w:sz w:val="22"/>
              </w:rPr>
            </w:pPr>
            <w:r w:rsidRPr="00300BDC">
              <w:rPr>
                <w:rFonts w:ascii="Arial" w:hAnsi="Arial" w:cs="Arial"/>
                <w:sz w:val="22"/>
              </w:rPr>
              <w:t>Calibrated value</w:t>
            </w:r>
          </w:p>
        </w:tc>
        <w:tc>
          <w:tcPr>
            <w:tcW w:w="2341" w:type="pct"/>
            <w:tcBorders>
              <w:top w:val="single" w:sz="4" w:space="0" w:color="auto"/>
              <w:bottom w:val="single" w:sz="4" w:space="0" w:color="auto"/>
            </w:tcBorders>
          </w:tcPr>
          <w:p w14:paraId="37F2BB65" w14:textId="6F269D9D" w:rsidR="00D8796A" w:rsidRPr="00300BDC" w:rsidRDefault="00D8796A" w:rsidP="0091208B">
            <w:pPr>
              <w:autoSpaceDE w:val="0"/>
              <w:autoSpaceDN w:val="0"/>
              <w:adjustRightInd w:val="0"/>
              <w:spacing w:line="360" w:lineRule="auto"/>
              <w:rPr>
                <w:rFonts w:ascii="Arial" w:hAnsi="Arial" w:cs="Arial"/>
                <w:sz w:val="22"/>
              </w:rPr>
            </w:pPr>
            <w:r w:rsidRPr="00300BDC">
              <w:rPr>
                <w:rFonts w:ascii="Arial" w:hAnsi="Arial" w:cs="Arial"/>
                <w:sz w:val="22"/>
              </w:rPr>
              <w:t>Note</w:t>
            </w:r>
          </w:p>
        </w:tc>
      </w:tr>
      <w:tr w:rsidR="00D8796A" w:rsidRPr="00851C91" w14:paraId="1765DBE9" w14:textId="760BD559" w:rsidTr="00C44974">
        <w:trPr>
          <w:jc w:val="center"/>
        </w:trPr>
        <w:tc>
          <w:tcPr>
            <w:tcW w:w="1071" w:type="pct"/>
            <w:vMerge w:val="restart"/>
            <w:tcBorders>
              <w:top w:val="single" w:sz="4" w:space="0" w:color="auto"/>
              <w:bottom w:val="nil"/>
            </w:tcBorders>
            <w:vAlign w:val="center"/>
          </w:tcPr>
          <w:p w14:paraId="66774D39" w14:textId="77777777" w:rsidR="00D8796A" w:rsidRPr="00D8796A" w:rsidRDefault="00D8796A" w:rsidP="00773E17">
            <w:pPr>
              <w:autoSpaceDE w:val="0"/>
              <w:autoSpaceDN w:val="0"/>
              <w:adjustRightInd w:val="0"/>
              <w:spacing w:line="288" w:lineRule="auto"/>
              <w:rPr>
                <w:rFonts w:ascii="Arial" w:hAnsi="Arial" w:cs="Arial"/>
                <w:sz w:val="22"/>
              </w:rPr>
            </w:pPr>
            <w:r w:rsidRPr="00D8796A">
              <w:rPr>
                <w:rFonts w:ascii="Arial" w:hAnsi="Arial" w:cs="Arial"/>
                <w:sz w:val="22"/>
              </w:rPr>
              <w:t>Landcover:</w:t>
            </w:r>
          </w:p>
          <w:p w14:paraId="09DA6232" w14:textId="77777777" w:rsidR="00D8796A" w:rsidRPr="00D8796A" w:rsidRDefault="00D8796A" w:rsidP="00773E17">
            <w:pPr>
              <w:autoSpaceDE w:val="0"/>
              <w:autoSpaceDN w:val="0"/>
              <w:adjustRightInd w:val="0"/>
              <w:spacing w:line="288" w:lineRule="auto"/>
              <w:rPr>
                <w:rFonts w:ascii="Arial" w:hAnsi="Arial" w:cs="Arial"/>
                <w:sz w:val="22"/>
              </w:rPr>
            </w:pPr>
            <w:r w:rsidRPr="00D8796A">
              <w:rPr>
                <w:rFonts w:ascii="Arial" w:hAnsi="Arial" w:cs="Arial"/>
                <w:sz w:val="22"/>
              </w:rPr>
              <w:t>Evergreen forest</w:t>
            </w:r>
          </w:p>
        </w:tc>
        <w:tc>
          <w:tcPr>
            <w:tcW w:w="842" w:type="pct"/>
            <w:tcBorders>
              <w:top w:val="single" w:sz="4" w:space="0" w:color="auto"/>
              <w:bottom w:val="nil"/>
            </w:tcBorders>
            <w:vAlign w:val="center"/>
          </w:tcPr>
          <w:p w14:paraId="19F5CD84" w14:textId="70BF4168" w:rsidR="00D8796A" w:rsidRPr="00D8796A" w:rsidRDefault="006846C1" w:rsidP="00773E17">
            <w:pPr>
              <w:autoSpaceDE w:val="0"/>
              <w:autoSpaceDN w:val="0"/>
              <w:adjustRightInd w:val="0"/>
              <w:spacing w:line="288" w:lineRule="auto"/>
              <w:rPr>
                <w:rFonts w:ascii="Arial" w:hAnsi="Arial" w:cs="Arial"/>
                <w:sz w:val="22"/>
              </w:rPr>
            </w:pPr>
            <m:oMathPara>
              <m:oMathParaPr>
                <m:jc m:val="left"/>
              </m:oMathParaPr>
              <m:oMath>
                <m:sSub>
                  <m:sSubPr>
                    <m:ctrlPr>
                      <w:rPr>
                        <w:rFonts w:ascii="Cambria Math" w:hAnsi="Cambria Math" w:cs="Arial"/>
                        <w:b/>
                        <w:sz w:val="22"/>
                      </w:rPr>
                    </m:ctrlPr>
                  </m:sSubPr>
                  <m:e>
                    <m:r>
                      <m:rPr>
                        <m:sty m:val="bi"/>
                      </m:rPr>
                      <w:rPr>
                        <w:rFonts w:ascii="Cambria Math" w:hAnsi="Cambria Math" w:cs="Arial"/>
                        <w:sz w:val="22"/>
                      </w:rPr>
                      <m:t>C</m:t>
                    </m:r>
                  </m:e>
                  <m:sub>
                    <m:r>
                      <m:rPr>
                        <m:sty m:val="bi"/>
                      </m:rPr>
                      <w:rPr>
                        <w:rFonts w:ascii="Cambria Math" w:hAnsi="Cambria Math" w:cs="Arial"/>
                        <w:sz w:val="22"/>
                      </w:rPr>
                      <m:t>zil</m:t>
                    </m:r>
                  </m:sub>
                </m:sSub>
              </m:oMath>
            </m:oMathPara>
          </w:p>
        </w:tc>
        <w:tc>
          <w:tcPr>
            <w:tcW w:w="746" w:type="pct"/>
            <w:tcBorders>
              <w:top w:val="single" w:sz="4" w:space="0" w:color="auto"/>
              <w:bottom w:val="nil"/>
            </w:tcBorders>
            <w:vAlign w:val="center"/>
          </w:tcPr>
          <w:p w14:paraId="05DA0105" w14:textId="77777777" w:rsidR="00D8796A" w:rsidRPr="00D8796A" w:rsidRDefault="00D8796A" w:rsidP="00773E17">
            <w:pPr>
              <w:autoSpaceDE w:val="0"/>
              <w:autoSpaceDN w:val="0"/>
              <w:adjustRightInd w:val="0"/>
              <w:spacing w:line="288" w:lineRule="auto"/>
              <w:rPr>
                <w:rFonts w:ascii="Arial" w:hAnsi="Arial" w:cs="Arial"/>
                <w:sz w:val="22"/>
              </w:rPr>
            </w:pPr>
            <w:r w:rsidRPr="00D8796A">
              <w:rPr>
                <w:rFonts w:ascii="Arial" w:hAnsi="Arial" w:cs="Arial"/>
                <w:sz w:val="22"/>
              </w:rPr>
              <w:t>0.10</w:t>
            </w:r>
          </w:p>
        </w:tc>
        <w:tc>
          <w:tcPr>
            <w:tcW w:w="2341" w:type="pct"/>
            <w:tcBorders>
              <w:top w:val="single" w:sz="4" w:space="0" w:color="auto"/>
              <w:bottom w:val="nil"/>
            </w:tcBorders>
          </w:tcPr>
          <w:p w14:paraId="3F04B85C" w14:textId="13E519B7" w:rsidR="00D8796A" w:rsidRPr="00D8796A" w:rsidRDefault="00D8796A" w:rsidP="00773E17">
            <w:pPr>
              <w:autoSpaceDE w:val="0"/>
              <w:autoSpaceDN w:val="0"/>
              <w:adjustRightInd w:val="0"/>
              <w:spacing w:line="288" w:lineRule="auto"/>
              <w:rPr>
                <w:rFonts w:ascii="Arial" w:hAnsi="Arial" w:cs="Arial"/>
                <w:sz w:val="22"/>
              </w:rPr>
            </w:pPr>
            <w:r w:rsidRPr="00D8796A">
              <w:rPr>
                <w:rFonts w:ascii="Arial" w:hAnsi="Arial" w:cs="Arial"/>
                <w:sz w:val="22"/>
              </w:rPr>
              <w:t>Zilitinkevich coefficient</w:t>
            </w:r>
          </w:p>
        </w:tc>
      </w:tr>
      <w:tr w:rsidR="00D8796A" w:rsidRPr="00851C91" w14:paraId="6B83EF1F" w14:textId="3321732B" w:rsidTr="00C44974">
        <w:trPr>
          <w:jc w:val="center"/>
        </w:trPr>
        <w:tc>
          <w:tcPr>
            <w:tcW w:w="1071" w:type="pct"/>
            <w:vMerge/>
            <w:tcBorders>
              <w:top w:val="nil"/>
              <w:bottom w:val="nil"/>
            </w:tcBorders>
          </w:tcPr>
          <w:p w14:paraId="39B22AE0" w14:textId="77777777" w:rsidR="00D8796A" w:rsidRPr="00D8796A" w:rsidRDefault="00D8796A" w:rsidP="00773E17">
            <w:pPr>
              <w:autoSpaceDE w:val="0"/>
              <w:autoSpaceDN w:val="0"/>
              <w:adjustRightInd w:val="0"/>
              <w:spacing w:line="288" w:lineRule="auto"/>
              <w:rPr>
                <w:rFonts w:ascii="Arial" w:hAnsi="Arial" w:cs="Arial"/>
                <w:sz w:val="22"/>
              </w:rPr>
            </w:pPr>
          </w:p>
        </w:tc>
        <w:tc>
          <w:tcPr>
            <w:tcW w:w="842" w:type="pct"/>
            <w:tcBorders>
              <w:top w:val="nil"/>
              <w:bottom w:val="nil"/>
            </w:tcBorders>
          </w:tcPr>
          <w:p w14:paraId="032393D1" w14:textId="743D2173" w:rsidR="00D8796A" w:rsidRPr="00D8796A" w:rsidRDefault="006846C1" w:rsidP="00773E17">
            <w:pPr>
              <w:autoSpaceDE w:val="0"/>
              <w:autoSpaceDN w:val="0"/>
              <w:adjustRightInd w:val="0"/>
              <w:spacing w:line="288" w:lineRule="auto"/>
              <w:rPr>
                <w:rFonts w:ascii="Arial" w:hAnsi="Arial" w:cs="Arial"/>
                <w:sz w:val="22"/>
              </w:rPr>
            </w:pPr>
            <m:oMathPara>
              <m:oMathParaPr>
                <m:jc m:val="left"/>
              </m:oMathParaPr>
              <m:oMath>
                <m:sSub>
                  <m:sSubPr>
                    <m:ctrlPr>
                      <w:rPr>
                        <w:rFonts w:ascii="Cambria Math" w:hAnsi="Cambria Math" w:cs="Arial"/>
                        <w:i/>
                        <w:sz w:val="22"/>
                      </w:rPr>
                    </m:ctrlPr>
                  </m:sSubPr>
                  <m:e>
                    <m:r>
                      <w:rPr>
                        <w:rFonts w:ascii="Cambria Math" w:hAnsi="Cambria Math" w:cs="Arial"/>
                        <w:sz w:val="22"/>
                      </w:rPr>
                      <m:t>D</m:t>
                    </m:r>
                  </m:e>
                  <m:sub>
                    <m:r>
                      <w:rPr>
                        <w:rFonts w:ascii="Cambria Math" w:hAnsi="Cambria Math" w:cs="Arial"/>
                        <w:sz w:val="22"/>
                      </w:rPr>
                      <m:t>root</m:t>
                    </m:r>
                  </m:sub>
                </m:sSub>
              </m:oMath>
            </m:oMathPara>
          </w:p>
        </w:tc>
        <w:tc>
          <w:tcPr>
            <w:tcW w:w="746" w:type="pct"/>
            <w:tcBorders>
              <w:top w:val="nil"/>
              <w:bottom w:val="nil"/>
            </w:tcBorders>
            <w:vAlign w:val="center"/>
          </w:tcPr>
          <w:p w14:paraId="06EA747F" w14:textId="77777777" w:rsidR="00D8796A" w:rsidRPr="00D8796A" w:rsidRDefault="00D8796A" w:rsidP="00773E17">
            <w:pPr>
              <w:autoSpaceDE w:val="0"/>
              <w:autoSpaceDN w:val="0"/>
              <w:adjustRightInd w:val="0"/>
              <w:spacing w:line="288" w:lineRule="auto"/>
              <w:rPr>
                <w:rFonts w:ascii="Arial" w:hAnsi="Arial" w:cs="Arial"/>
                <w:sz w:val="22"/>
              </w:rPr>
            </w:pPr>
            <w:r w:rsidRPr="00D8796A">
              <w:rPr>
                <w:rFonts w:ascii="Arial" w:hAnsi="Arial" w:cs="Arial"/>
                <w:sz w:val="22"/>
              </w:rPr>
              <w:t>1.3</w:t>
            </w:r>
          </w:p>
        </w:tc>
        <w:tc>
          <w:tcPr>
            <w:tcW w:w="2341" w:type="pct"/>
            <w:tcBorders>
              <w:top w:val="nil"/>
              <w:bottom w:val="nil"/>
            </w:tcBorders>
          </w:tcPr>
          <w:p w14:paraId="254C18FB" w14:textId="32F5FF09" w:rsidR="00D8796A" w:rsidRPr="00D8796A" w:rsidRDefault="00D8796A" w:rsidP="00773E17">
            <w:pPr>
              <w:autoSpaceDE w:val="0"/>
              <w:autoSpaceDN w:val="0"/>
              <w:adjustRightInd w:val="0"/>
              <w:spacing w:line="288" w:lineRule="auto"/>
              <w:rPr>
                <w:rFonts w:ascii="Arial" w:hAnsi="Arial" w:cs="Arial"/>
                <w:sz w:val="22"/>
              </w:rPr>
            </w:pPr>
            <w:r w:rsidRPr="00D8796A">
              <w:rPr>
                <w:rFonts w:ascii="Arial" w:hAnsi="Arial" w:cs="Arial"/>
                <w:sz w:val="22"/>
              </w:rPr>
              <w:t>Rooting depth (m)</w:t>
            </w:r>
          </w:p>
        </w:tc>
      </w:tr>
      <w:tr w:rsidR="00D8796A" w:rsidRPr="00851C91" w14:paraId="23713E8E" w14:textId="73671F49" w:rsidTr="00C44974">
        <w:trPr>
          <w:jc w:val="center"/>
        </w:trPr>
        <w:tc>
          <w:tcPr>
            <w:tcW w:w="1071" w:type="pct"/>
            <w:vMerge/>
            <w:tcBorders>
              <w:top w:val="nil"/>
              <w:bottom w:val="nil"/>
            </w:tcBorders>
          </w:tcPr>
          <w:p w14:paraId="3F7977EE" w14:textId="77777777" w:rsidR="00D8796A" w:rsidRPr="00D8796A" w:rsidRDefault="00D8796A" w:rsidP="00773E17">
            <w:pPr>
              <w:autoSpaceDE w:val="0"/>
              <w:autoSpaceDN w:val="0"/>
              <w:adjustRightInd w:val="0"/>
              <w:spacing w:line="288" w:lineRule="auto"/>
              <w:jc w:val="center"/>
              <w:rPr>
                <w:rFonts w:ascii="Arial" w:hAnsi="Arial" w:cs="Arial"/>
                <w:sz w:val="22"/>
              </w:rPr>
            </w:pPr>
          </w:p>
        </w:tc>
        <w:tc>
          <w:tcPr>
            <w:tcW w:w="842" w:type="pct"/>
            <w:tcBorders>
              <w:top w:val="nil"/>
              <w:bottom w:val="nil"/>
            </w:tcBorders>
          </w:tcPr>
          <w:p w14:paraId="31FAC3F2" w14:textId="68391D8E" w:rsidR="00D8796A" w:rsidRPr="00D8796A" w:rsidRDefault="00D8796A" w:rsidP="00773E17">
            <w:pPr>
              <w:autoSpaceDE w:val="0"/>
              <w:autoSpaceDN w:val="0"/>
              <w:adjustRightInd w:val="0"/>
              <w:spacing w:line="288" w:lineRule="auto"/>
              <w:rPr>
                <w:rFonts w:ascii="Arial" w:hAnsi="Arial" w:cs="Arial"/>
                <w:sz w:val="22"/>
              </w:rPr>
            </w:pPr>
            <m:oMath>
              <m:r>
                <w:rPr>
                  <w:rFonts w:ascii="Cambria Math" w:hAnsi="Cambria Math" w:cs="Arial"/>
                  <w:sz w:val="22"/>
                </w:rPr>
                <m:t>RGL</m:t>
              </m:r>
            </m:oMath>
            <w:r w:rsidRPr="00D8796A">
              <w:rPr>
                <w:rFonts w:ascii="Arial" w:hAnsi="Arial" w:cs="Arial"/>
                <w:sz w:val="22"/>
              </w:rPr>
              <w:t xml:space="preserve"> </w:t>
            </w:r>
          </w:p>
        </w:tc>
        <w:tc>
          <w:tcPr>
            <w:tcW w:w="746" w:type="pct"/>
            <w:tcBorders>
              <w:top w:val="nil"/>
              <w:bottom w:val="nil"/>
            </w:tcBorders>
          </w:tcPr>
          <w:p w14:paraId="7C3BF69F" w14:textId="77777777" w:rsidR="00D8796A" w:rsidRPr="00D8796A" w:rsidRDefault="00D8796A" w:rsidP="00773E17">
            <w:pPr>
              <w:autoSpaceDE w:val="0"/>
              <w:autoSpaceDN w:val="0"/>
              <w:adjustRightInd w:val="0"/>
              <w:spacing w:line="288" w:lineRule="auto"/>
              <w:rPr>
                <w:rFonts w:ascii="Arial" w:hAnsi="Arial" w:cs="Arial"/>
                <w:sz w:val="22"/>
              </w:rPr>
            </w:pPr>
            <w:r w:rsidRPr="00D8796A">
              <w:rPr>
                <w:rFonts w:ascii="Arial" w:hAnsi="Arial" w:cs="Arial"/>
                <w:sz w:val="22"/>
              </w:rPr>
              <w:t>60</w:t>
            </w:r>
          </w:p>
        </w:tc>
        <w:tc>
          <w:tcPr>
            <w:tcW w:w="2341" w:type="pct"/>
            <w:tcBorders>
              <w:top w:val="nil"/>
              <w:bottom w:val="nil"/>
            </w:tcBorders>
          </w:tcPr>
          <w:p w14:paraId="56282602" w14:textId="51D37AB0" w:rsidR="00D8796A" w:rsidRPr="00D8796A" w:rsidRDefault="00300BDC" w:rsidP="00773E17">
            <w:pPr>
              <w:autoSpaceDE w:val="0"/>
              <w:autoSpaceDN w:val="0"/>
              <w:adjustRightInd w:val="0"/>
              <w:spacing w:line="288" w:lineRule="auto"/>
              <w:rPr>
                <w:rFonts w:ascii="Arial" w:hAnsi="Arial" w:cs="Arial"/>
                <w:sz w:val="22"/>
              </w:rPr>
            </w:pPr>
            <w:r>
              <w:rPr>
                <w:rFonts w:ascii="Arial" w:hAnsi="Arial" w:cs="Arial"/>
                <w:sz w:val="22"/>
              </w:rPr>
              <w:t>R</w:t>
            </w:r>
            <w:r w:rsidR="00D8796A" w:rsidRPr="00D8796A">
              <w:rPr>
                <w:rFonts w:ascii="Arial" w:hAnsi="Arial" w:cs="Arial"/>
                <w:sz w:val="22"/>
              </w:rPr>
              <w:t>eference visible solar radiation (W/m</w:t>
            </w:r>
            <w:r w:rsidR="00D8796A" w:rsidRPr="00D8796A">
              <w:rPr>
                <w:rFonts w:ascii="Arial" w:hAnsi="Arial" w:cs="Arial"/>
                <w:sz w:val="22"/>
                <w:vertAlign w:val="superscript"/>
              </w:rPr>
              <w:t>2</w:t>
            </w:r>
            <w:r w:rsidR="00D8796A" w:rsidRPr="00D8796A">
              <w:rPr>
                <w:rFonts w:ascii="Arial" w:hAnsi="Arial" w:cs="Arial"/>
                <w:sz w:val="22"/>
              </w:rPr>
              <w:t>)</w:t>
            </w:r>
          </w:p>
        </w:tc>
      </w:tr>
      <w:tr w:rsidR="00D8796A" w:rsidRPr="00851C91" w14:paraId="5A12208B" w14:textId="5D47098B" w:rsidTr="00C44974">
        <w:trPr>
          <w:jc w:val="center"/>
        </w:trPr>
        <w:tc>
          <w:tcPr>
            <w:tcW w:w="1071" w:type="pct"/>
            <w:vMerge/>
            <w:tcBorders>
              <w:top w:val="nil"/>
              <w:bottom w:val="nil"/>
            </w:tcBorders>
          </w:tcPr>
          <w:p w14:paraId="4A798CC0" w14:textId="77777777" w:rsidR="00D8796A" w:rsidRPr="00D8796A" w:rsidRDefault="00D8796A" w:rsidP="00773E17">
            <w:pPr>
              <w:autoSpaceDE w:val="0"/>
              <w:autoSpaceDN w:val="0"/>
              <w:adjustRightInd w:val="0"/>
              <w:spacing w:line="288" w:lineRule="auto"/>
              <w:jc w:val="center"/>
              <w:rPr>
                <w:rFonts w:ascii="Arial" w:hAnsi="Arial" w:cs="Arial"/>
                <w:sz w:val="22"/>
              </w:rPr>
            </w:pPr>
          </w:p>
        </w:tc>
        <w:tc>
          <w:tcPr>
            <w:tcW w:w="842" w:type="pct"/>
            <w:tcBorders>
              <w:top w:val="nil"/>
              <w:bottom w:val="nil"/>
            </w:tcBorders>
          </w:tcPr>
          <w:p w14:paraId="34198050" w14:textId="722FB643" w:rsidR="00D8796A" w:rsidRPr="00D8796A" w:rsidRDefault="00D8796A" w:rsidP="00773E17">
            <w:pPr>
              <w:autoSpaceDE w:val="0"/>
              <w:autoSpaceDN w:val="0"/>
              <w:adjustRightInd w:val="0"/>
              <w:spacing w:line="288" w:lineRule="auto"/>
              <w:rPr>
                <w:rFonts w:ascii="Arial" w:hAnsi="Arial" w:cs="Arial"/>
                <w:sz w:val="22"/>
              </w:rPr>
            </w:pPr>
            <m:oMath>
              <m:r>
                <w:rPr>
                  <w:rFonts w:ascii="Cambria Math" w:hAnsi="Cambria Math" w:cs="Arial"/>
                  <w:sz w:val="22"/>
                </w:rPr>
                <m:t>RS</m:t>
              </m:r>
            </m:oMath>
            <w:r w:rsidRPr="00D8796A">
              <w:rPr>
                <w:rFonts w:ascii="Arial" w:hAnsi="Arial" w:cs="Arial"/>
                <w:sz w:val="22"/>
              </w:rPr>
              <w:t xml:space="preserve"> </w:t>
            </w:r>
          </w:p>
        </w:tc>
        <w:tc>
          <w:tcPr>
            <w:tcW w:w="746" w:type="pct"/>
            <w:tcBorders>
              <w:top w:val="nil"/>
              <w:bottom w:val="nil"/>
            </w:tcBorders>
          </w:tcPr>
          <w:p w14:paraId="515C3961" w14:textId="77777777" w:rsidR="00D8796A" w:rsidRPr="00D8796A" w:rsidRDefault="00D8796A" w:rsidP="00773E17">
            <w:pPr>
              <w:autoSpaceDE w:val="0"/>
              <w:autoSpaceDN w:val="0"/>
              <w:adjustRightInd w:val="0"/>
              <w:spacing w:line="288" w:lineRule="auto"/>
              <w:rPr>
                <w:rFonts w:ascii="Arial" w:hAnsi="Arial" w:cs="Arial"/>
                <w:sz w:val="22"/>
              </w:rPr>
            </w:pPr>
            <w:r w:rsidRPr="00D8796A">
              <w:rPr>
                <w:rFonts w:ascii="Arial" w:hAnsi="Arial" w:cs="Arial"/>
                <w:sz w:val="22"/>
              </w:rPr>
              <w:t>105</w:t>
            </w:r>
          </w:p>
        </w:tc>
        <w:tc>
          <w:tcPr>
            <w:tcW w:w="2341" w:type="pct"/>
            <w:tcBorders>
              <w:top w:val="nil"/>
              <w:bottom w:val="nil"/>
            </w:tcBorders>
          </w:tcPr>
          <w:p w14:paraId="09460C24" w14:textId="2CDF3CF8" w:rsidR="00D8796A" w:rsidRPr="00D8796A" w:rsidRDefault="00300BDC" w:rsidP="00773E17">
            <w:pPr>
              <w:autoSpaceDE w:val="0"/>
              <w:autoSpaceDN w:val="0"/>
              <w:adjustRightInd w:val="0"/>
              <w:spacing w:line="288" w:lineRule="auto"/>
              <w:rPr>
                <w:rFonts w:ascii="Arial" w:hAnsi="Arial" w:cs="Arial"/>
                <w:sz w:val="22"/>
              </w:rPr>
            </w:pPr>
            <w:r>
              <w:rPr>
                <w:rFonts w:ascii="Arial" w:hAnsi="Arial" w:cs="Arial"/>
                <w:sz w:val="22"/>
              </w:rPr>
              <w:t>M</w:t>
            </w:r>
            <w:r w:rsidR="00D8796A" w:rsidRPr="00D8796A">
              <w:rPr>
                <w:rFonts w:ascii="Arial" w:hAnsi="Arial" w:cs="Arial"/>
                <w:sz w:val="22"/>
              </w:rPr>
              <w:t>inimum stomatal resistance</w:t>
            </w:r>
            <w:r w:rsidR="00D8796A">
              <w:rPr>
                <w:rFonts w:ascii="Arial" w:hAnsi="Arial" w:cs="Arial"/>
                <w:sz w:val="22"/>
              </w:rPr>
              <w:t xml:space="preserve"> </w:t>
            </w:r>
            <w:r w:rsidR="00D8796A" w:rsidRPr="00D8796A">
              <w:rPr>
                <w:rFonts w:ascii="Arial" w:hAnsi="Arial" w:cs="Arial"/>
                <w:sz w:val="22"/>
              </w:rPr>
              <w:t>(s/m)</w:t>
            </w:r>
          </w:p>
        </w:tc>
      </w:tr>
      <w:tr w:rsidR="00300BDC" w:rsidRPr="00851C91" w14:paraId="4A4913CC" w14:textId="5F4C711B" w:rsidTr="00C44974">
        <w:trPr>
          <w:jc w:val="center"/>
        </w:trPr>
        <w:tc>
          <w:tcPr>
            <w:tcW w:w="1071" w:type="pct"/>
            <w:vMerge/>
            <w:tcBorders>
              <w:top w:val="nil"/>
              <w:bottom w:val="single" w:sz="4" w:space="0" w:color="auto"/>
            </w:tcBorders>
          </w:tcPr>
          <w:p w14:paraId="04775A54" w14:textId="77777777" w:rsidR="00D8796A" w:rsidRPr="00D8796A" w:rsidRDefault="00D8796A" w:rsidP="00773E17">
            <w:pPr>
              <w:autoSpaceDE w:val="0"/>
              <w:autoSpaceDN w:val="0"/>
              <w:adjustRightInd w:val="0"/>
              <w:spacing w:line="288" w:lineRule="auto"/>
              <w:jc w:val="center"/>
              <w:rPr>
                <w:rFonts w:ascii="Arial" w:hAnsi="Arial" w:cs="Arial"/>
                <w:sz w:val="22"/>
              </w:rPr>
            </w:pPr>
          </w:p>
        </w:tc>
        <w:tc>
          <w:tcPr>
            <w:tcW w:w="842" w:type="pct"/>
            <w:tcBorders>
              <w:top w:val="nil"/>
              <w:bottom w:val="single" w:sz="4" w:space="0" w:color="auto"/>
            </w:tcBorders>
          </w:tcPr>
          <w:p w14:paraId="71D0F638" w14:textId="2B7014D6" w:rsidR="00D8796A" w:rsidRPr="00D8796A" w:rsidRDefault="00D8796A" w:rsidP="00773E17">
            <w:pPr>
              <w:autoSpaceDE w:val="0"/>
              <w:autoSpaceDN w:val="0"/>
              <w:adjustRightInd w:val="0"/>
              <w:spacing w:line="288" w:lineRule="auto"/>
              <w:rPr>
                <w:rFonts w:ascii="Arial" w:hAnsi="Arial" w:cs="Arial"/>
                <w:sz w:val="22"/>
              </w:rPr>
            </w:pPr>
            <m:oMathPara>
              <m:oMathParaPr>
                <m:jc m:val="left"/>
              </m:oMathParaPr>
              <m:oMath>
                <m:r>
                  <w:rPr>
                    <w:rFonts w:ascii="Cambria Math" w:hAnsi="Cambria Math" w:cs="Arial"/>
                    <w:sz w:val="22"/>
                  </w:rPr>
                  <m:t>HS</m:t>
                </m:r>
              </m:oMath>
            </m:oMathPara>
          </w:p>
        </w:tc>
        <w:tc>
          <w:tcPr>
            <w:tcW w:w="746" w:type="pct"/>
            <w:tcBorders>
              <w:top w:val="nil"/>
              <w:bottom w:val="single" w:sz="4" w:space="0" w:color="auto"/>
            </w:tcBorders>
          </w:tcPr>
          <w:p w14:paraId="7882BAE6" w14:textId="77777777" w:rsidR="00D8796A" w:rsidRPr="00D8796A" w:rsidRDefault="00D8796A" w:rsidP="00773E17">
            <w:pPr>
              <w:autoSpaceDE w:val="0"/>
              <w:autoSpaceDN w:val="0"/>
              <w:adjustRightInd w:val="0"/>
              <w:spacing w:line="288" w:lineRule="auto"/>
              <w:rPr>
                <w:rFonts w:ascii="Arial" w:hAnsi="Arial" w:cs="Arial"/>
                <w:sz w:val="22"/>
              </w:rPr>
            </w:pPr>
            <w:r w:rsidRPr="00D8796A">
              <w:rPr>
                <w:rFonts w:ascii="Arial" w:hAnsi="Arial" w:cs="Arial"/>
                <w:sz w:val="22"/>
              </w:rPr>
              <w:t>53</w:t>
            </w:r>
          </w:p>
        </w:tc>
        <w:tc>
          <w:tcPr>
            <w:tcW w:w="2341" w:type="pct"/>
            <w:tcBorders>
              <w:top w:val="nil"/>
              <w:bottom w:val="single" w:sz="4" w:space="0" w:color="auto"/>
            </w:tcBorders>
          </w:tcPr>
          <w:p w14:paraId="129C0336" w14:textId="32DF295B" w:rsidR="00D8796A" w:rsidRPr="00851C91" w:rsidRDefault="00300BDC" w:rsidP="00773E17">
            <w:pPr>
              <w:autoSpaceDE w:val="0"/>
              <w:autoSpaceDN w:val="0"/>
              <w:adjustRightInd w:val="0"/>
              <w:spacing w:line="288" w:lineRule="auto"/>
              <w:rPr>
                <w:rFonts w:ascii="Arial" w:hAnsi="Arial" w:cs="Arial"/>
              </w:rPr>
            </w:pPr>
            <w:r>
              <w:rPr>
                <w:rFonts w:ascii="Arial" w:hAnsi="Arial" w:cs="Arial"/>
                <w:sz w:val="22"/>
              </w:rPr>
              <w:t>W</w:t>
            </w:r>
            <w:r w:rsidR="00D8796A" w:rsidRPr="00773E17">
              <w:rPr>
                <w:rFonts w:ascii="Arial" w:hAnsi="Arial" w:cs="Arial"/>
                <w:sz w:val="22"/>
              </w:rPr>
              <w:t>ater vapor exchange coefficient</w:t>
            </w:r>
          </w:p>
        </w:tc>
      </w:tr>
      <w:tr w:rsidR="00D8796A" w:rsidRPr="00851C91" w14:paraId="16285271" w14:textId="0633DF66" w:rsidTr="00C44974">
        <w:trPr>
          <w:jc w:val="center"/>
        </w:trPr>
        <w:tc>
          <w:tcPr>
            <w:tcW w:w="1071" w:type="pct"/>
            <w:vMerge w:val="restart"/>
            <w:tcBorders>
              <w:top w:val="single" w:sz="4" w:space="0" w:color="auto"/>
            </w:tcBorders>
            <w:vAlign w:val="center"/>
          </w:tcPr>
          <w:p w14:paraId="708957E4" w14:textId="77777777" w:rsidR="00D8796A" w:rsidRPr="00D8796A" w:rsidRDefault="00D8796A" w:rsidP="0091208B">
            <w:pPr>
              <w:autoSpaceDE w:val="0"/>
              <w:autoSpaceDN w:val="0"/>
              <w:adjustRightInd w:val="0"/>
              <w:spacing w:line="360" w:lineRule="auto"/>
              <w:rPr>
                <w:rFonts w:ascii="Arial" w:hAnsi="Arial" w:cs="Arial"/>
                <w:sz w:val="22"/>
              </w:rPr>
            </w:pPr>
            <w:r w:rsidRPr="00D8796A">
              <w:rPr>
                <w:rFonts w:ascii="Arial" w:hAnsi="Arial" w:cs="Arial"/>
                <w:sz w:val="22"/>
              </w:rPr>
              <w:t>Soil properties:</w:t>
            </w:r>
          </w:p>
          <w:p w14:paraId="5FFDBD69" w14:textId="77777777" w:rsidR="00D8796A" w:rsidRPr="00D8796A" w:rsidRDefault="00D8796A" w:rsidP="0091208B">
            <w:pPr>
              <w:autoSpaceDE w:val="0"/>
              <w:autoSpaceDN w:val="0"/>
              <w:adjustRightInd w:val="0"/>
              <w:spacing w:line="360" w:lineRule="auto"/>
              <w:rPr>
                <w:rFonts w:ascii="Arial" w:hAnsi="Arial" w:cs="Arial"/>
                <w:sz w:val="22"/>
              </w:rPr>
            </w:pPr>
            <w:proofErr w:type="spellStart"/>
            <w:r w:rsidRPr="00D8796A">
              <w:rPr>
                <w:rFonts w:ascii="Arial" w:hAnsi="Arial" w:cs="Arial"/>
                <w:sz w:val="22"/>
              </w:rPr>
              <w:t>Needleton</w:t>
            </w:r>
            <w:proofErr w:type="spellEnd"/>
            <w:r w:rsidRPr="00D8796A">
              <w:rPr>
                <w:rFonts w:ascii="Arial" w:hAnsi="Arial" w:cs="Arial"/>
                <w:sz w:val="22"/>
              </w:rPr>
              <w:t>-Scout families</w:t>
            </w:r>
          </w:p>
        </w:tc>
        <w:tc>
          <w:tcPr>
            <w:tcW w:w="842" w:type="pct"/>
            <w:tcBorders>
              <w:top w:val="single" w:sz="4" w:space="0" w:color="auto"/>
            </w:tcBorders>
          </w:tcPr>
          <w:p w14:paraId="24586174" w14:textId="032382A4" w:rsidR="00D8796A" w:rsidRPr="00300BDC" w:rsidRDefault="006846C1" w:rsidP="0091208B">
            <w:pPr>
              <w:autoSpaceDE w:val="0"/>
              <w:autoSpaceDN w:val="0"/>
              <w:adjustRightInd w:val="0"/>
              <w:spacing w:line="360" w:lineRule="auto"/>
              <w:rPr>
                <w:rFonts w:ascii="Arial" w:hAnsi="Arial" w:cs="Arial"/>
                <w:sz w:val="22"/>
              </w:rPr>
            </w:pPr>
            <m:oMathPara>
              <m:oMathParaPr>
                <m:jc m:val="left"/>
              </m:oMathParaPr>
              <m:oMath>
                <m:sSub>
                  <m:sSubPr>
                    <m:ctrlPr>
                      <w:rPr>
                        <w:rFonts w:ascii="Cambria Math" w:hAnsi="Cambria Math" w:cs="Arial"/>
                        <w:b/>
                        <w:sz w:val="22"/>
                      </w:rPr>
                    </m:ctrlPr>
                  </m:sSubPr>
                  <m:e>
                    <m:r>
                      <m:rPr>
                        <m:sty m:val="bi"/>
                      </m:rPr>
                      <w:rPr>
                        <w:rFonts w:ascii="Cambria Math" w:hAnsi="Cambria Math" w:cs="Arial"/>
                        <w:sz w:val="22"/>
                      </w:rPr>
                      <m:t>K</m:t>
                    </m:r>
                  </m:e>
                  <m:sub>
                    <m:r>
                      <m:rPr>
                        <m:sty m:val="bi"/>
                      </m:rPr>
                      <w:rPr>
                        <w:rFonts w:ascii="Cambria Math" w:hAnsi="Cambria Math" w:cs="Arial"/>
                        <w:sz w:val="22"/>
                      </w:rPr>
                      <m:t>satH</m:t>
                    </m:r>
                  </m:sub>
                </m:sSub>
              </m:oMath>
            </m:oMathPara>
          </w:p>
        </w:tc>
        <w:tc>
          <w:tcPr>
            <w:tcW w:w="746" w:type="pct"/>
            <w:tcBorders>
              <w:top w:val="single" w:sz="4" w:space="0" w:color="auto"/>
            </w:tcBorders>
          </w:tcPr>
          <w:p w14:paraId="6D9F5FBA" w14:textId="77777777" w:rsidR="00D8796A" w:rsidRPr="00D8796A" w:rsidRDefault="00D8796A" w:rsidP="0091208B">
            <w:pPr>
              <w:autoSpaceDE w:val="0"/>
              <w:autoSpaceDN w:val="0"/>
              <w:adjustRightInd w:val="0"/>
              <w:spacing w:line="360" w:lineRule="auto"/>
              <w:rPr>
                <w:rFonts w:ascii="Arial" w:hAnsi="Arial" w:cs="Arial"/>
                <w:sz w:val="22"/>
              </w:rPr>
            </w:pPr>
            <w:r w:rsidRPr="00D8796A">
              <w:rPr>
                <w:rFonts w:ascii="Arial" w:hAnsi="Arial" w:cs="Arial"/>
                <w:sz w:val="22"/>
              </w:rPr>
              <w:t>65</w:t>
            </w:r>
          </w:p>
        </w:tc>
        <w:tc>
          <w:tcPr>
            <w:tcW w:w="2341" w:type="pct"/>
            <w:tcBorders>
              <w:top w:val="single" w:sz="4" w:space="0" w:color="auto"/>
            </w:tcBorders>
          </w:tcPr>
          <w:p w14:paraId="0F0E090D" w14:textId="2C1161F6" w:rsidR="00D8796A" w:rsidRPr="00300BDC" w:rsidRDefault="00300BDC" w:rsidP="00300BDC">
            <w:pPr>
              <w:autoSpaceDE w:val="0"/>
              <w:autoSpaceDN w:val="0"/>
              <w:adjustRightInd w:val="0"/>
              <w:spacing w:line="288" w:lineRule="auto"/>
              <w:rPr>
                <w:rFonts w:ascii="Arial" w:hAnsi="Arial" w:cs="Arial"/>
                <w:sz w:val="22"/>
              </w:rPr>
            </w:pPr>
            <w:r>
              <w:rPr>
                <w:rFonts w:ascii="Arial" w:hAnsi="Arial" w:cs="Arial"/>
                <w:sz w:val="22"/>
              </w:rPr>
              <w:t>H</w:t>
            </w:r>
            <w:r w:rsidR="00773E17" w:rsidRPr="00300BDC">
              <w:rPr>
                <w:rFonts w:ascii="Arial" w:hAnsi="Arial" w:cs="Arial"/>
                <w:sz w:val="22"/>
              </w:rPr>
              <w:t>orizontal saturated hydraulic conductivity (m/d)</w:t>
            </w:r>
          </w:p>
        </w:tc>
      </w:tr>
      <w:tr w:rsidR="00D8796A" w:rsidRPr="00851C91" w14:paraId="211F861C" w14:textId="287DE5A8" w:rsidTr="00C44974">
        <w:trPr>
          <w:jc w:val="center"/>
        </w:trPr>
        <w:tc>
          <w:tcPr>
            <w:tcW w:w="1071" w:type="pct"/>
            <w:vMerge/>
          </w:tcPr>
          <w:p w14:paraId="23EF73DF" w14:textId="77777777" w:rsidR="00D8796A" w:rsidRPr="00D8796A" w:rsidRDefault="00D8796A" w:rsidP="0091208B">
            <w:pPr>
              <w:autoSpaceDE w:val="0"/>
              <w:autoSpaceDN w:val="0"/>
              <w:adjustRightInd w:val="0"/>
              <w:spacing w:line="360" w:lineRule="auto"/>
              <w:jc w:val="center"/>
              <w:rPr>
                <w:rFonts w:ascii="Arial" w:hAnsi="Arial" w:cs="Arial"/>
                <w:sz w:val="22"/>
              </w:rPr>
            </w:pPr>
          </w:p>
        </w:tc>
        <w:tc>
          <w:tcPr>
            <w:tcW w:w="842" w:type="pct"/>
          </w:tcPr>
          <w:p w14:paraId="343CFC0B" w14:textId="6FEB1D6B" w:rsidR="00D8796A" w:rsidRPr="00300BDC" w:rsidRDefault="006846C1" w:rsidP="0091208B">
            <w:pPr>
              <w:autoSpaceDE w:val="0"/>
              <w:autoSpaceDN w:val="0"/>
              <w:adjustRightInd w:val="0"/>
              <w:spacing w:line="360" w:lineRule="auto"/>
              <w:rPr>
                <w:rFonts w:ascii="Arial" w:hAnsi="Arial" w:cs="Arial"/>
                <w:sz w:val="22"/>
              </w:rPr>
            </w:pPr>
            <m:oMathPara>
              <m:oMathParaPr>
                <m:jc m:val="left"/>
              </m:oMathParaPr>
              <m:oMath>
                <m:sSub>
                  <m:sSubPr>
                    <m:ctrlPr>
                      <w:rPr>
                        <w:rFonts w:ascii="Cambria Math" w:hAnsi="Cambria Math" w:cs="Arial"/>
                        <w:b/>
                        <w:sz w:val="22"/>
                      </w:rPr>
                    </m:ctrlPr>
                  </m:sSubPr>
                  <m:e>
                    <m:r>
                      <m:rPr>
                        <m:sty m:val="bi"/>
                      </m:rPr>
                      <w:rPr>
                        <w:rFonts w:ascii="Cambria Math" w:hAnsi="Cambria Math" w:cs="Arial"/>
                        <w:sz w:val="22"/>
                      </w:rPr>
                      <m:t>K</m:t>
                    </m:r>
                  </m:e>
                  <m:sub>
                    <m:r>
                      <m:rPr>
                        <m:sty m:val="bi"/>
                      </m:rPr>
                      <w:rPr>
                        <w:rFonts w:ascii="Cambria Math" w:hAnsi="Cambria Math" w:cs="Arial"/>
                        <w:sz w:val="22"/>
                      </w:rPr>
                      <m:t>satV</m:t>
                    </m:r>
                  </m:sub>
                </m:sSub>
              </m:oMath>
            </m:oMathPara>
          </w:p>
        </w:tc>
        <w:tc>
          <w:tcPr>
            <w:tcW w:w="746" w:type="pct"/>
          </w:tcPr>
          <w:p w14:paraId="229DF728" w14:textId="77777777" w:rsidR="00D8796A" w:rsidRPr="00D8796A" w:rsidRDefault="00D8796A" w:rsidP="0091208B">
            <w:pPr>
              <w:autoSpaceDE w:val="0"/>
              <w:autoSpaceDN w:val="0"/>
              <w:adjustRightInd w:val="0"/>
              <w:spacing w:line="360" w:lineRule="auto"/>
              <w:rPr>
                <w:rFonts w:ascii="Arial" w:hAnsi="Arial" w:cs="Arial"/>
                <w:sz w:val="22"/>
              </w:rPr>
            </w:pPr>
            <w:r w:rsidRPr="00D8796A">
              <w:rPr>
                <w:rFonts w:ascii="Arial" w:hAnsi="Arial" w:cs="Arial"/>
                <w:sz w:val="22"/>
              </w:rPr>
              <w:t>0.39</w:t>
            </w:r>
          </w:p>
        </w:tc>
        <w:tc>
          <w:tcPr>
            <w:tcW w:w="2341" w:type="pct"/>
          </w:tcPr>
          <w:p w14:paraId="00E01EC6" w14:textId="275D2BC9" w:rsidR="00D8796A" w:rsidRPr="00300BDC" w:rsidRDefault="00300BDC" w:rsidP="00300BDC">
            <w:pPr>
              <w:autoSpaceDE w:val="0"/>
              <w:autoSpaceDN w:val="0"/>
              <w:adjustRightInd w:val="0"/>
              <w:spacing w:line="288" w:lineRule="auto"/>
              <w:rPr>
                <w:rFonts w:ascii="Arial" w:hAnsi="Arial" w:cs="Arial"/>
                <w:sz w:val="22"/>
              </w:rPr>
            </w:pPr>
            <w:r>
              <w:rPr>
                <w:rFonts w:ascii="Arial" w:hAnsi="Arial" w:cs="Arial"/>
                <w:sz w:val="22"/>
              </w:rPr>
              <w:t>V</w:t>
            </w:r>
            <w:r w:rsidR="00773E17" w:rsidRPr="00300BDC">
              <w:rPr>
                <w:rFonts w:ascii="Arial" w:hAnsi="Arial" w:cs="Arial"/>
                <w:sz w:val="22"/>
              </w:rPr>
              <w:t>ertical saturated hydraulic conductivity (m/d)</w:t>
            </w:r>
          </w:p>
        </w:tc>
      </w:tr>
      <w:tr w:rsidR="00D8796A" w:rsidRPr="00851C91" w14:paraId="4D91EFF2" w14:textId="31094302" w:rsidTr="00C44974">
        <w:trPr>
          <w:jc w:val="center"/>
        </w:trPr>
        <w:tc>
          <w:tcPr>
            <w:tcW w:w="1071" w:type="pct"/>
            <w:vMerge/>
          </w:tcPr>
          <w:p w14:paraId="5168AC13" w14:textId="77777777" w:rsidR="00D8796A" w:rsidRPr="00D8796A" w:rsidRDefault="00D8796A" w:rsidP="0091208B">
            <w:pPr>
              <w:autoSpaceDE w:val="0"/>
              <w:autoSpaceDN w:val="0"/>
              <w:adjustRightInd w:val="0"/>
              <w:spacing w:line="360" w:lineRule="auto"/>
              <w:jc w:val="center"/>
              <w:rPr>
                <w:rFonts w:ascii="Arial" w:hAnsi="Arial" w:cs="Arial"/>
                <w:sz w:val="22"/>
              </w:rPr>
            </w:pPr>
          </w:p>
        </w:tc>
        <w:tc>
          <w:tcPr>
            <w:tcW w:w="842" w:type="pct"/>
          </w:tcPr>
          <w:p w14:paraId="379E2ED1" w14:textId="31524477" w:rsidR="00D8796A" w:rsidRPr="00300BDC" w:rsidRDefault="006846C1" w:rsidP="0091208B">
            <w:pPr>
              <w:autoSpaceDE w:val="0"/>
              <w:autoSpaceDN w:val="0"/>
              <w:adjustRightInd w:val="0"/>
              <w:spacing w:line="360" w:lineRule="auto"/>
              <w:rPr>
                <w:rFonts w:ascii="Arial" w:eastAsia="等线" w:hAnsi="Arial" w:cs="Arial"/>
                <w:sz w:val="22"/>
              </w:rPr>
            </w:pPr>
            <m:oMathPara>
              <m:oMathParaPr>
                <m:jc m:val="left"/>
              </m:oMathParaPr>
              <m:oMath>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inf</m:t>
                    </m:r>
                  </m:sub>
                </m:sSub>
              </m:oMath>
            </m:oMathPara>
          </w:p>
        </w:tc>
        <w:tc>
          <w:tcPr>
            <w:tcW w:w="746" w:type="pct"/>
          </w:tcPr>
          <w:p w14:paraId="4A76E091" w14:textId="77777777" w:rsidR="00D8796A" w:rsidRPr="00D8796A" w:rsidRDefault="00D8796A" w:rsidP="0091208B">
            <w:pPr>
              <w:autoSpaceDE w:val="0"/>
              <w:autoSpaceDN w:val="0"/>
              <w:adjustRightInd w:val="0"/>
              <w:spacing w:line="360" w:lineRule="auto"/>
              <w:rPr>
                <w:rFonts w:ascii="Arial" w:hAnsi="Arial" w:cs="Arial"/>
                <w:sz w:val="22"/>
              </w:rPr>
            </w:pPr>
            <w:r w:rsidRPr="00D8796A">
              <w:rPr>
                <w:rFonts w:ascii="Arial" w:hAnsi="Arial" w:cs="Arial"/>
                <w:sz w:val="22"/>
              </w:rPr>
              <w:t>4.1</w:t>
            </w:r>
          </w:p>
        </w:tc>
        <w:tc>
          <w:tcPr>
            <w:tcW w:w="2341" w:type="pct"/>
          </w:tcPr>
          <w:p w14:paraId="4B5C7C98" w14:textId="1E381ED9" w:rsidR="00D8796A" w:rsidRPr="00300BDC" w:rsidRDefault="00300BDC" w:rsidP="00300BDC">
            <w:pPr>
              <w:autoSpaceDE w:val="0"/>
              <w:autoSpaceDN w:val="0"/>
              <w:adjustRightInd w:val="0"/>
              <w:spacing w:line="288" w:lineRule="auto"/>
              <w:rPr>
                <w:rFonts w:ascii="Arial" w:hAnsi="Arial" w:cs="Arial"/>
                <w:sz w:val="22"/>
              </w:rPr>
            </w:pPr>
            <w:r>
              <w:rPr>
                <w:rFonts w:ascii="Arial" w:hAnsi="Arial" w:cs="Arial"/>
                <w:sz w:val="22"/>
              </w:rPr>
              <w:t>Infiltration</w:t>
            </w:r>
            <w:r w:rsidR="00773E17" w:rsidRPr="00300BDC">
              <w:rPr>
                <w:rFonts w:ascii="Arial" w:hAnsi="Arial" w:cs="Arial"/>
                <w:sz w:val="22"/>
              </w:rPr>
              <w:t xml:space="preserve"> hydraulic conductivity </w:t>
            </w:r>
            <w:r w:rsidRPr="00300BDC">
              <w:rPr>
                <w:rFonts w:ascii="Arial" w:hAnsi="Arial" w:cs="Arial"/>
                <w:sz w:val="22"/>
              </w:rPr>
              <w:t>(m/d)</w:t>
            </w:r>
          </w:p>
        </w:tc>
      </w:tr>
      <w:tr w:rsidR="00D8796A" w:rsidRPr="00851C91" w14:paraId="4C0AB8F4" w14:textId="3624A288" w:rsidTr="00C44974">
        <w:trPr>
          <w:jc w:val="center"/>
        </w:trPr>
        <w:tc>
          <w:tcPr>
            <w:tcW w:w="1071" w:type="pct"/>
            <w:vMerge/>
          </w:tcPr>
          <w:p w14:paraId="72AEE583" w14:textId="77777777" w:rsidR="00D8796A" w:rsidRPr="00D8796A" w:rsidRDefault="00D8796A" w:rsidP="0091208B">
            <w:pPr>
              <w:autoSpaceDE w:val="0"/>
              <w:autoSpaceDN w:val="0"/>
              <w:adjustRightInd w:val="0"/>
              <w:spacing w:line="360" w:lineRule="auto"/>
              <w:jc w:val="center"/>
              <w:rPr>
                <w:rFonts w:ascii="Arial" w:hAnsi="Arial" w:cs="Arial"/>
                <w:sz w:val="22"/>
              </w:rPr>
            </w:pPr>
          </w:p>
        </w:tc>
        <w:tc>
          <w:tcPr>
            <w:tcW w:w="842" w:type="pct"/>
          </w:tcPr>
          <w:p w14:paraId="3AA7C12F" w14:textId="10C4948A" w:rsidR="00D8796A" w:rsidRPr="00300BDC" w:rsidRDefault="006846C1" w:rsidP="0091208B">
            <w:pPr>
              <w:autoSpaceDE w:val="0"/>
              <w:autoSpaceDN w:val="0"/>
              <w:adjustRightInd w:val="0"/>
              <w:spacing w:line="360" w:lineRule="auto"/>
              <w:rPr>
                <w:rFonts w:ascii="Arial" w:eastAsia="等线" w:hAnsi="Arial" w:cs="Arial"/>
                <w:sz w:val="22"/>
              </w:rPr>
            </w:pPr>
            <m:oMathPara>
              <m:oMathParaPr>
                <m:jc m:val="left"/>
              </m:oMathParaPr>
              <m:oMath>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macH</m:t>
                    </m:r>
                  </m:sub>
                </m:sSub>
              </m:oMath>
            </m:oMathPara>
          </w:p>
        </w:tc>
        <w:tc>
          <w:tcPr>
            <w:tcW w:w="746" w:type="pct"/>
          </w:tcPr>
          <w:p w14:paraId="50AB05CF" w14:textId="77777777" w:rsidR="00D8796A" w:rsidRPr="00D8796A" w:rsidRDefault="00D8796A" w:rsidP="0091208B">
            <w:pPr>
              <w:autoSpaceDE w:val="0"/>
              <w:autoSpaceDN w:val="0"/>
              <w:adjustRightInd w:val="0"/>
              <w:spacing w:line="360" w:lineRule="auto"/>
              <w:rPr>
                <w:rFonts w:ascii="Arial" w:hAnsi="Arial" w:cs="Arial"/>
                <w:sz w:val="22"/>
              </w:rPr>
            </w:pPr>
            <w:r w:rsidRPr="00D8796A">
              <w:rPr>
                <w:rFonts w:ascii="Arial" w:hAnsi="Arial" w:cs="Arial"/>
                <w:sz w:val="22"/>
              </w:rPr>
              <w:t>14,600</w:t>
            </w:r>
          </w:p>
        </w:tc>
        <w:tc>
          <w:tcPr>
            <w:tcW w:w="2341" w:type="pct"/>
          </w:tcPr>
          <w:p w14:paraId="367C0C54" w14:textId="3F9D79BC" w:rsidR="00D8796A" w:rsidRPr="00300BDC" w:rsidRDefault="00300BDC" w:rsidP="00300BDC">
            <w:pPr>
              <w:autoSpaceDE w:val="0"/>
              <w:autoSpaceDN w:val="0"/>
              <w:adjustRightInd w:val="0"/>
              <w:spacing w:line="288" w:lineRule="auto"/>
              <w:rPr>
                <w:rFonts w:ascii="Arial" w:hAnsi="Arial" w:cs="Arial"/>
                <w:sz w:val="22"/>
              </w:rPr>
            </w:pPr>
            <w:r>
              <w:rPr>
                <w:rFonts w:ascii="Arial" w:hAnsi="Arial" w:cs="Arial"/>
                <w:sz w:val="22"/>
              </w:rPr>
              <w:t>H</w:t>
            </w:r>
            <w:r w:rsidR="00773E17" w:rsidRPr="00300BDC">
              <w:rPr>
                <w:rFonts w:ascii="Arial" w:hAnsi="Arial" w:cs="Arial"/>
                <w:sz w:val="22"/>
              </w:rPr>
              <w:t>orizontal macropore hydraulic conductivity</w:t>
            </w:r>
            <w:r>
              <w:rPr>
                <w:rFonts w:ascii="Arial" w:hAnsi="Arial" w:cs="Arial"/>
                <w:sz w:val="22"/>
              </w:rPr>
              <w:t xml:space="preserve"> </w:t>
            </w:r>
            <w:r w:rsidRPr="00300BDC">
              <w:rPr>
                <w:rFonts w:ascii="Arial" w:hAnsi="Arial" w:cs="Arial"/>
                <w:sz w:val="22"/>
              </w:rPr>
              <w:t>(m/d)</w:t>
            </w:r>
          </w:p>
        </w:tc>
      </w:tr>
      <w:tr w:rsidR="00D8796A" w:rsidRPr="00851C91" w14:paraId="0CE629C7" w14:textId="4FF1D2F3" w:rsidTr="00C44974">
        <w:trPr>
          <w:jc w:val="center"/>
        </w:trPr>
        <w:tc>
          <w:tcPr>
            <w:tcW w:w="1071" w:type="pct"/>
            <w:vMerge/>
          </w:tcPr>
          <w:p w14:paraId="526651EA" w14:textId="77777777" w:rsidR="00D8796A" w:rsidRPr="00D8796A" w:rsidRDefault="00D8796A" w:rsidP="0091208B">
            <w:pPr>
              <w:autoSpaceDE w:val="0"/>
              <w:autoSpaceDN w:val="0"/>
              <w:adjustRightInd w:val="0"/>
              <w:spacing w:line="360" w:lineRule="auto"/>
              <w:jc w:val="center"/>
              <w:rPr>
                <w:rFonts w:ascii="Arial" w:hAnsi="Arial" w:cs="Arial"/>
                <w:sz w:val="22"/>
              </w:rPr>
            </w:pPr>
          </w:p>
        </w:tc>
        <w:tc>
          <w:tcPr>
            <w:tcW w:w="842" w:type="pct"/>
          </w:tcPr>
          <w:p w14:paraId="3A615FB7" w14:textId="54953530" w:rsidR="00D8796A" w:rsidRPr="00300BDC" w:rsidRDefault="006846C1" w:rsidP="0091208B">
            <w:pPr>
              <w:autoSpaceDE w:val="0"/>
              <w:autoSpaceDN w:val="0"/>
              <w:adjustRightInd w:val="0"/>
              <w:spacing w:line="360" w:lineRule="auto"/>
              <w:rPr>
                <w:rFonts w:ascii="Arial" w:eastAsia="等线" w:hAnsi="Arial" w:cs="Arial"/>
                <w:sz w:val="22"/>
              </w:rPr>
            </w:pPr>
            <m:oMathPara>
              <m:oMathParaPr>
                <m:jc m:val="left"/>
              </m:oMathParaPr>
              <m:oMath>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macV</m:t>
                    </m:r>
                  </m:sub>
                </m:sSub>
              </m:oMath>
            </m:oMathPara>
          </w:p>
        </w:tc>
        <w:tc>
          <w:tcPr>
            <w:tcW w:w="746" w:type="pct"/>
          </w:tcPr>
          <w:p w14:paraId="44A1C3ED" w14:textId="77777777" w:rsidR="00D8796A" w:rsidRPr="00D8796A" w:rsidRDefault="00D8796A" w:rsidP="0091208B">
            <w:pPr>
              <w:autoSpaceDE w:val="0"/>
              <w:autoSpaceDN w:val="0"/>
              <w:adjustRightInd w:val="0"/>
              <w:spacing w:line="360" w:lineRule="auto"/>
              <w:rPr>
                <w:rFonts w:ascii="Arial" w:hAnsi="Arial" w:cs="Arial"/>
                <w:sz w:val="22"/>
              </w:rPr>
            </w:pPr>
            <w:r w:rsidRPr="00D8796A">
              <w:rPr>
                <w:rFonts w:ascii="Arial" w:hAnsi="Arial" w:cs="Arial"/>
                <w:sz w:val="22"/>
              </w:rPr>
              <w:t>223</w:t>
            </w:r>
          </w:p>
        </w:tc>
        <w:tc>
          <w:tcPr>
            <w:tcW w:w="2341" w:type="pct"/>
          </w:tcPr>
          <w:p w14:paraId="0B36855A" w14:textId="0D600DAC" w:rsidR="00D8796A" w:rsidRPr="00300BDC" w:rsidRDefault="00300BDC" w:rsidP="00300BDC">
            <w:pPr>
              <w:autoSpaceDE w:val="0"/>
              <w:autoSpaceDN w:val="0"/>
              <w:adjustRightInd w:val="0"/>
              <w:spacing w:line="288" w:lineRule="auto"/>
              <w:rPr>
                <w:rFonts w:ascii="Arial" w:hAnsi="Arial" w:cs="Arial"/>
                <w:sz w:val="22"/>
              </w:rPr>
            </w:pPr>
            <w:r>
              <w:rPr>
                <w:rFonts w:ascii="Arial" w:hAnsi="Arial" w:cs="Arial"/>
                <w:sz w:val="22"/>
              </w:rPr>
              <w:t>V</w:t>
            </w:r>
            <w:r w:rsidR="00773E17" w:rsidRPr="00300BDC">
              <w:rPr>
                <w:rFonts w:ascii="Arial" w:hAnsi="Arial" w:cs="Arial"/>
                <w:sz w:val="22"/>
              </w:rPr>
              <w:t>ertical macropore hydraulic conductivity</w:t>
            </w:r>
            <w:r>
              <w:rPr>
                <w:rFonts w:ascii="Arial" w:hAnsi="Arial" w:cs="Arial"/>
                <w:sz w:val="22"/>
              </w:rPr>
              <w:t xml:space="preserve"> </w:t>
            </w:r>
            <w:r w:rsidRPr="00300BDC">
              <w:rPr>
                <w:rFonts w:ascii="Arial" w:hAnsi="Arial" w:cs="Arial"/>
                <w:sz w:val="22"/>
              </w:rPr>
              <w:t>(m/d)</w:t>
            </w:r>
          </w:p>
        </w:tc>
      </w:tr>
      <w:tr w:rsidR="00D8796A" w:rsidRPr="00851C91" w14:paraId="01F4BCBC" w14:textId="45A695B4" w:rsidTr="00C44974">
        <w:trPr>
          <w:jc w:val="center"/>
        </w:trPr>
        <w:tc>
          <w:tcPr>
            <w:tcW w:w="1071" w:type="pct"/>
            <w:vMerge/>
          </w:tcPr>
          <w:p w14:paraId="74DD6020" w14:textId="77777777" w:rsidR="00D8796A" w:rsidRPr="00D8796A" w:rsidRDefault="00D8796A" w:rsidP="0091208B">
            <w:pPr>
              <w:autoSpaceDE w:val="0"/>
              <w:autoSpaceDN w:val="0"/>
              <w:adjustRightInd w:val="0"/>
              <w:spacing w:line="360" w:lineRule="auto"/>
              <w:jc w:val="center"/>
              <w:rPr>
                <w:rFonts w:ascii="Arial" w:hAnsi="Arial" w:cs="Arial"/>
                <w:sz w:val="22"/>
              </w:rPr>
            </w:pPr>
          </w:p>
        </w:tc>
        <w:tc>
          <w:tcPr>
            <w:tcW w:w="842" w:type="pct"/>
          </w:tcPr>
          <w:p w14:paraId="6BBDAB9A" w14:textId="60C2EDCF" w:rsidR="00D8796A" w:rsidRPr="00300BDC" w:rsidRDefault="006846C1" w:rsidP="0091208B">
            <w:pPr>
              <w:autoSpaceDE w:val="0"/>
              <w:autoSpaceDN w:val="0"/>
              <w:adjustRightInd w:val="0"/>
              <w:spacing w:line="360" w:lineRule="auto"/>
              <w:rPr>
                <w:rFonts w:ascii="Arial" w:eastAsia="等线" w:hAnsi="Arial" w:cs="Arial"/>
                <w:sz w:val="22"/>
              </w:rPr>
            </w:pPr>
            <m:oMathPara>
              <m:oMathParaPr>
                <m:jc m:val="left"/>
              </m:oMathParaPr>
              <m:oMath>
                <m:sSub>
                  <m:sSubPr>
                    <m:ctrlPr>
                      <w:rPr>
                        <w:rFonts w:ascii="Cambria Math" w:hAnsi="Cambria Math" w:cs="Arial"/>
                        <w:i/>
                        <w:sz w:val="22"/>
                      </w:rPr>
                    </m:ctrlPr>
                  </m:sSubPr>
                  <m:e>
                    <m:r>
                      <w:rPr>
                        <w:rFonts w:ascii="Cambria Math" w:hAnsi="Cambria Math" w:cs="Arial"/>
                        <w:sz w:val="22"/>
                      </w:rPr>
                      <m:t>D</m:t>
                    </m:r>
                  </m:e>
                  <m:sub>
                    <m:r>
                      <w:rPr>
                        <w:rFonts w:ascii="Cambria Math" w:hAnsi="Cambria Math" w:cs="Arial"/>
                        <w:sz w:val="22"/>
                      </w:rPr>
                      <m:t>mac</m:t>
                    </m:r>
                  </m:sub>
                </m:sSub>
              </m:oMath>
            </m:oMathPara>
          </w:p>
        </w:tc>
        <w:tc>
          <w:tcPr>
            <w:tcW w:w="746" w:type="pct"/>
          </w:tcPr>
          <w:p w14:paraId="666D1613" w14:textId="77777777" w:rsidR="00D8796A" w:rsidRPr="00D8796A" w:rsidRDefault="00D8796A" w:rsidP="0091208B">
            <w:pPr>
              <w:autoSpaceDE w:val="0"/>
              <w:autoSpaceDN w:val="0"/>
              <w:adjustRightInd w:val="0"/>
              <w:spacing w:line="360" w:lineRule="auto"/>
              <w:rPr>
                <w:rFonts w:ascii="Arial" w:hAnsi="Arial" w:cs="Arial"/>
                <w:sz w:val="22"/>
              </w:rPr>
            </w:pPr>
            <w:r w:rsidRPr="00D8796A">
              <w:rPr>
                <w:rFonts w:ascii="Arial" w:hAnsi="Arial" w:cs="Arial"/>
                <w:sz w:val="22"/>
              </w:rPr>
              <w:t>0.14</w:t>
            </w:r>
          </w:p>
        </w:tc>
        <w:tc>
          <w:tcPr>
            <w:tcW w:w="2341" w:type="pct"/>
          </w:tcPr>
          <w:p w14:paraId="22C9E339" w14:textId="4CB46710" w:rsidR="00D8796A" w:rsidRPr="00300BDC" w:rsidRDefault="00300BDC" w:rsidP="00300BDC">
            <w:pPr>
              <w:autoSpaceDE w:val="0"/>
              <w:autoSpaceDN w:val="0"/>
              <w:adjustRightInd w:val="0"/>
              <w:spacing w:line="288" w:lineRule="auto"/>
              <w:rPr>
                <w:rFonts w:ascii="Arial" w:hAnsi="Arial" w:cs="Arial"/>
                <w:sz w:val="22"/>
              </w:rPr>
            </w:pPr>
            <w:r>
              <w:rPr>
                <w:rFonts w:ascii="Arial" w:hAnsi="Arial" w:cs="Arial"/>
                <w:sz w:val="22"/>
              </w:rPr>
              <w:t>M</w:t>
            </w:r>
            <w:r w:rsidR="00773E17" w:rsidRPr="00300BDC">
              <w:rPr>
                <w:rFonts w:ascii="Arial" w:hAnsi="Arial" w:cs="Arial"/>
                <w:sz w:val="22"/>
              </w:rPr>
              <w:t>acropore depth (m)</w:t>
            </w:r>
          </w:p>
        </w:tc>
      </w:tr>
      <w:tr w:rsidR="00D8796A" w:rsidRPr="00851C91" w14:paraId="1AEE1F27" w14:textId="361ECA77" w:rsidTr="00C44974">
        <w:trPr>
          <w:jc w:val="center"/>
        </w:trPr>
        <w:tc>
          <w:tcPr>
            <w:tcW w:w="1071" w:type="pct"/>
            <w:vMerge/>
          </w:tcPr>
          <w:p w14:paraId="24F92601" w14:textId="77777777" w:rsidR="00D8796A" w:rsidRPr="00D8796A" w:rsidRDefault="00D8796A" w:rsidP="0091208B">
            <w:pPr>
              <w:autoSpaceDE w:val="0"/>
              <w:autoSpaceDN w:val="0"/>
              <w:adjustRightInd w:val="0"/>
              <w:spacing w:line="360" w:lineRule="auto"/>
              <w:jc w:val="center"/>
              <w:rPr>
                <w:rFonts w:ascii="Arial" w:hAnsi="Arial" w:cs="Arial"/>
                <w:sz w:val="22"/>
              </w:rPr>
            </w:pPr>
          </w:p>
        </w:tc>
        <w:tc>
          <w:tcPr>
            <w:tcW w:w="842" w:type="pct"/>
          </w:tcPr>
          <w:p w14:paraId="0533C691" w14:textId="2AB9FB9D" w:rsidR="00D8796A" w:rsidRPr="00300BDC" w:rsidRDefault="00D8796A" w:rsidP="0091208B">
            <w:pPr>
              <w:autoSpaceDE w:val="0"/>
              <w:autoSpaceDN w:val="0"/>
              <w:adjustRightInd w:val="0"/>
              <w:spacing w:line="360" w:lineRule="auto"/>
              <w:rPr>
                <w:rFonts w:ascii="Arial" w:hAnsi="Arial" w:cs="Arial"/>
                <w:sz w:val="22"/>
              </w:rPr>
            </w:pPr>
            <m:oMathPara>
              <m:oMathParaPr>
                <m:jc m:val="left"/>
              </m:oMathParaPr>
              <m:oMath>
                <m:r>
                  <m:rPr>
                    <m:sty m:val="bi"/>
                  </m:rPr>
                  <w:rPr>
                    <w:rFonts w:ascii="Cambria Math" w:hAnsi="Cambria Math" w:cs="Arial"/>
                    <w:sz w:val="22"/>
                  </w:rPr>
                  <m:t>θ</m:t>
                </m:r>
              </m:oMath>
            </m:oMathPara>
          </w:p>
        </w:tc>
        <w:tc>
          <w:tcPr>
            <w:tcW w:w="746" w:type="pct"/>
          </w:tcPr>
          <w:p w14:paraId="2E5556C2" w14:textId="77777777" w:rsidR="00D8796A" w:rsidRPr="00D8796A" w:rsidRDefault="00D8796A" w:rsidP="0091208B">
            <w:pPr>
              <w:autoSpaceDE w:val="0"/>
              <w:autoSpaceDN w:val="0"/>
              <w:adjustRightInd w:val="0"/>
              <w:spacing w:line="360" w:lineRule="auto"/>
              <w:rPr>
                <w:rFonts w:ascii="Arial" w:hAnsi="Arial" w:cs="Arial"/>
                <w:sz w:val="22"/>
              </w:rPr>
            </w:pPr>
            <w:r w:rsidRPr="00D8796A">
              <w:rPr>
                <w:rFonts w:ascii="Arial" w:hAnsi="Arial" w:cs="Arial"/>
                <w:sz w:val="22"/>
              </w:rPr>
              <w:t>0.26</w:t>
            </w:r>
          </w:p>
        </w:tc>
        <w:tc>
          <w:tcPr>
            <w:tcW w:w="2341" w:type="pct"/>
          </w:tcPr>
          <w:p w14:paraId="5649F904" w14:textId="19296BBA" w:rsidR="00D8796A" w:rsidRPr="00300BDC" w:rsidRDefault="00300BDC" w:rsidP="00300BDC">
            <w:pPr>
              <w:autoSpaceDE w:val="0"/>
              <w:autoSpaceDN w:val="0"/>
              <w:adjustRightInd w:val="0"/>
              <w:spacing w:line="288" w:lineRule="auto"/>
              <w:rPr>
                <w:rFonts w:ascii="Arial" w:hAnsi="Arial" w:cs="Arial"/>
                <w:sz w:val="22"/>
              </w:rPr>
            </w:pPr>
            <w:r w:rsidRPr="00300BDC">
              <w:rPr>
                <w:rFonts w:ascii="Arial" w:hAnsi="Arial" w:cs="Arial"/>
                <w:sz w:val="22"/>
              </w:rPr>
              <w:t>P</w:t>
            </w:r>
            <w:r w:rsidR="00773E17" w:rsidRPr="00300BDC">
              <w:rPr>
                <w:rFonts w:ascii="Arial" w:hAnsi="Arial" w:cs="Arial"/>
                <w:sz w:val="22"/>
              </w:rPr>
              <w:t>orosity</w:t>
            </w:r>
            <w:r>
              <w:rPr>
                <w:rFonts w:ascii="Arial" w:hAnsi="Arial" w:cs="Arial"/>
                <w:sz w:val="22"/>
              </w:rPr>
              <w:t xml:space="preserve"> </w:t>
            </w:r>
            <w:r w:rsidRPr="00D8796A">
              <w:rPr>
                <w:rFonts w:ascii="Arial" w:hAnsi="Arial" w:cs="Arial"/>
                <w:sz w:val="22"/>
              </w:rPr>
              <w:t>(m</w:t>
            </w:r>
            <w:r w:rsidRPr="00D8796A">
              <w:rPr>
                <w:rFonts w:ascii="Arial" w:hAnsi="Arial" w:cs="Arial"/>
                <w:sz w:val="22"/>
                <w:vertAlign w:val="superscript"/>
              </w:rPr>
              <w:t>3</w:t>
            </w:r>
            <w:r w:rsidRPr="00D8796A">
              <w:rPr>
                <w:rFonts w:ascii="Arial" w:hAnsi="Arial" w:cs="Arial"/>
                <w:sz w:val="22"/>
              </w:rPr>
              <w:t>/m</w:t>
            </w:r>
            <w:r w:rsidRPr="00D8796A">
              <w:rPr>
                <w:rFonts w:ascii="Arial" w:hAnsi="Arial" w:cs="Arial"/>
                <w:sz w:val="22"/>
                <w:vertAlign w:val="superscript"/>
              </w:rPr>
              <w:t>3</w:t>
            </w:r>
            <w:r w:rsidRPr="00D8796A">
              <w:rPr>
                <w:rFonts w:ascii="Arial" w:hAnsi="Arial" w:cs="Arial"/>
                <w:sz w:val="22"/>
              </w:rPr>
              <w:t>)</w:t>
            </w:r>
          </w:p>
        </w:tc>
      </w:tr>
      <w:tr w:rsidR="00D8796A" w:rsidRPr="00851C91" w14:paraId="1ECE17D9" w14:textId="6EE2FAB9" w:rsidTr="00C44974">
        <w:trPr>
          <w:jc w:val="center"/>
        </w:trPr>
        <w:tc>
          <w:tcPr>
            <w:tcW w:w="1071" w:type="pct"/>
            <w:vMerge/>
          </w:tcPr>
          <w:p w14:paraId="3C2DEA5E" w14:textId="77777777" w:rsidR="00D8796A" w:rsidRPr="00D8796A" w:rsidRDefault="00D8796A" w:rsidP="0091208B">
            <w:pPr>
              <w:autoSpaceDE w:val="0"/>
              <w:autoSpaceDN w:val="0"/>
              <w:adjustRightInd w:val="0"/>
              <w:spacing w:line="360" w:lineRule="auto"/>
              <w:jc w:val="center"/>
              <w:rPr>
                <w:rFonts w:ascii="Arial" w:hAnsi="Arial" w:cs="Arial"/>
                <w:sz w:val="22"/>
              </w:rPr>
            </w:pPr>
          </w:p>
        </w:tc>
        <w:tc>
          <w:tcPr>
            <w:tcW w:w="842" w:type="pct"/>
          </w:tcPr>
          <w:p w14:paraId="4884F1C3" w14:textId="7C9B7A50" w:rsidR="00D8796A" w:rsidRPr="00D8796A" w:rsidRDefault="00D8796A" w:rsidP="0091208B">
            <w:pPr>
              <w:autoSpaceDE w:val="0"/>
              <w:autoSpaceDN w:val="0"/>
              <w:adjustRightInd w:val="0"/>
              <w:spacing w:line="360" w:lineRule="auto"/>
              <w:rPr>
                <w:rFonts w:ascii="Arial" w:hAnsi="Arial" w:cs="Arial"/>
                <w:i/>
                <w:sz w:val="22"/>
              </w:rPr>
            </w:pPr>
            <m:oMath>
              <m:r>
                <m:rPr>
                  <m:sty m:val="bi"/>
                </m:rPr>
                <w:rPr>
                  <w:rFonts w:ascii="Cambria Math" w:hAnsi="Cambria Math" w:cs="Arial"/>
                  <w:sz w:val="22"/>
                </w:rPr>
                <m:t>α</m:t>
              </m:r>
            </m:oMath>
            <w:r w:rsidRPr="00D8796A">
              <w:rPr>
                <w:rFonts w:ascii="Arial" w:hAnsi="Arial" w:cs="Arial"/>
                <w:sz w:val="22"/>
              </w:rPr>
              <w:t xml:space="preserve"> </w:t>
            </w:r>
          </w:p>
        </w:tc>
        <w:tc>
          <w:tcPr>
            <w:tcW w:w="746" w:type="pct"/>
          </w:tcPr>
          <w:p w14:paraId="2F3BA8F9" w14:textId="77777777" w:rsidR="00D8796A" w:rsidRPr="00D8796A" w:rsidRDefault="00D8796A" w:rsidP="0091208B">
            <w:pPr>
              <w:autoSpaceDE w:val="0"/>
              <w:autoSpaceDN w:val="0"/>
              <w:adjustRightInd w:val="0"/>
              <w:spacing w:line="360" w:lineRule="auto"/>
              <w:rPr>
                <w:rFonts w:ascii="Arial" w:hAnsi="Arial" w:cs="Arial"/>
                <w:sz w:val="22"/>
              </w:rPr>
            </w:pPr>
            <w:r w:rsidRPr="00D8796A">
              <w:rPr>
                <w:rFonts w:ascii="Arial" w:hAnsi="Arial" w:cs="Arial"/>
                <w:sz w:val="22"/>
              </w:rPr>
              <w:t>0.70</w:t>
            </w:r>
          </w:p>
        </w:tc>
        <w:tc>
          <w:tcPr>
            <w:tcW w:w="2341" w:type="pct"/>
          </w:tcPr>
          <w:p w14:paraId="14B9771B" w14:textId="609A32A5" w:rsidR="00D8796A" w:rsidRPr="00300BDC" w:rsidRDefault="00773E17" w:rsidP="00300BDC">
            <w:pPr>
              <w:autoSpaceDE w:val="0"/>
              <w:autoSpaceDN w:val="0"/>
              <w:adjustRightInd w:val="0"/>
              <w:spacing w:line="288" w:lineRule="auto"/>
              <w:rPr>
                <w:rFonts w:ascii="Arial" w:hAnsi="Arial" w:cs="Arial"/>
                <w:sz w:val="22"/>
              </w:rPr>
            </w:pPr>
            <w:r w:rsidRPr="00300BDC">
              <w:rPr>
                <w:rFonts w:ascii="Arial" w:hAnsi="Arial" w:cs="Arial"/>
                <w:sz w:val="22"/>
              </w:rPr>
              <w:t xml:space="preserve">van </w:t>
            </w:r>
            <w:proofErr w:type="spellStart"/>
            <w:r w:rsidRPr="00300BDC">
              <w:rPr>
                <w:rFonts w:ascii="Arial" w:hAnsi="Arial" w:cs="Arial"/>
                <w:sz w:val="22"/>
              </w:rPr>
              <w:t>Genuchten</w:t>
            </w:r>
            <w:proofErr w:type="spellEnd"/>
            <w:r w:rsidRPr="00300BDC">
              <w:rPr>
                <w:rFonts w:ascii="Arial" w:hAnsi="Arial" w:cs="Arial"/>
                <w:sz w:val="22"/>
              </w:rPr>
              <w:t xml:space="preserve"> alpha</w:t>
            </w:r>
            <w:r w:rsidR="00300BDC" w:rsidRPr="00300BDC">
              <w:rPr>
                <w:rFonts w:ascii="Arial" w:hAnsi="Arial" w:cs="Arial"/>
                <w:sz w:val="22"/>
              </w:rPr>
              <w:t>, inversely proportional to pore diameter</w:t>
            </w:r>
            <w:r w:rsidR="00300BDC">
              <w:rPr>
                <w:rFonts w:ascii="Arial" w:hAnsi="Arial" w:cs="Arial"/>
                <w:sz w:val="22"/>
              </w:rPr>
              <w:t xml:space="preserve"> </w:t>
            </w:r>
            <w:r w:rsidR="00300BDC" w:rsidRPr="00D8796A">
              <w:rPr>
                <w:rFonts w:ascii="Arial" w:hAnsi="Arial" w:cs="Arial"/>
                <w:sz w:val="22"/>
              </w:rPr>
              <w:t>(m</w:t>
            </w:r>
            <w:r w:rsidR="00300BDC" w:rsidRPr="00D8796A">
              <w:rPr>
                <w:rFonts w:ascii="Arial" w:hAnsi="Arial" w:cs="Arial"/>
                <w:sz w:val="22"/>
                <w:vertAlign w:val="superscript"/>
              </w:rPr>
              <w:t>-1</w:t>
            </w:r>
            <w:r w:rsidR="00300BDC" w:rsidRPr="00D8796A">
              <w:rPr>
                <w:rFonts w:ascii="Arial" w:hAnsi="Arial" w:cs="Arial"/>
                <w:sz w:val="22"/>
              </w:rPr>
              <w:t>)</w:t>
            </w:r>
          </w:p>
        </w:tc>
      </w:tr>
      <w:tr w:rsidR="00D8796A" w:rsidRPr="00851C91" w14:paraId="289EF97E" w14:textId="2A1B0FDE" w:rsidTr="00C44974">
        <w:trPr>
          <w:jc w:val="center"/>
        </w:trPr>
        <w:tc>
          <w:tcPr>
            <w:tcW w:w="1071" w:type="pct"/>
            <w:vMerge/>
          </w:tcPr>
          <w:p w14:paraId="6375ACEE" w14:textId="77777777" w:rsidR="00D8796A" w:rsidRPr="00D8796A" w:rsidRDefault="00D8796A" w:rsidP="0091208B">
            <w:pPr>
              <w:autoSpaceDE w:val="0"/>
              <w:autoSpaceDN w:val="0"/>
              <w:adjustRightInd w:val="0"/>
              <w:spacing w:line="360" w:lineRule="auto"/>
              <w:jc w:val="center"/>
              <w:rPr>
                <w:rFonts w:ascii="Arial" w:hAnsi="Arial" w:cs="Arial"/>
                <w:sz w:val="22"/>
              </w:rPr>
            </w:pPr>
          </w:p>
        </w:tc>
        <w:tc>
          <w:tcPr>
            <w:tcW w:w="842" w:type="pct"/>
          </w:tcPr>
          <w:p w14:paraId="34782325" w14:textId="12D38B9C" w:rsidR="00D8796A" w:rsidRPr="00300BDC" w:rsidRDefault="00C44974" w:rsidP="00C44974">
            <w:pPr>
              <w:autoSpaceDE w:val="0"/>
              <w:autoSpaceDN w:val="0"/>
              <w:adjustRightInd w:val="0"/>
              <w:spacing w:line="360" w:lineRule="auto"/>
              <w:rPr>
                <w:rFonts w:ascii="Arial" w:eastAsia="等线" w:hAnsi="Arial" w:cs="Arial"/>
                <w:sz w:val="22"/>
              </w:rPr>
            </w:pPr>
            <m:oMathPara>
              <m:oMathParaPr>
                <m:jc m:val="left"/>
              </m:oMathParaPr>
              <m:oMath>
                <m:r>
                  <m:rPr>
                    <m:sty m:val="bi"/>
                  </m:rPr>
                  <w:rPr>
                    <w:rFonts w:ascii="Cambria Math" w:hAnsi="Cambria Math" w:cs="Arial"/>
                    <w:sz w:val="22"/>
                  </w:rPr>
                  <m:t>n</m:t>
                </m:r>
              </m:oMath>
            </m:oMathPara>
          </w:p>
        </w:tc>
        <w:tc>
          <w:tcPr>
            <w:tcW w:w="746" w:type="pct"/>
          </w:tcPr>
          <w:p w14:paraId="7FE8FF81" w14:textId="77777777" w:rsidR="00D8796A" w:rsidRPr="00D8796A" w:rsidRDefault="00D8796A" w:rsidP="0091208B">
            <w:pPr>
              <w:autoSpaceDE w:val="0"/>
              <w:autoSpaceDN w:val="0"/>
              <w:adjustRightInd w:val="0"/>
              <w:spacing w:line="360" w:lineRule="auto"/>
              <w:rPr>
                <w:rFonts w:ascii="Arial" w:hAnsi="Arial" w:cs="Arial"/>
                <w:sz w:val="22"/>
              </w:rPr>
            </w:pPr>
            <w:r w:rsidRPr="00D8796A">
              <w:rPr>
                <w:rFonts w:ascii="Arial" w:hAnsi="Arial" w:cs="Arial"/>
                <w:sz w:val="22"/>
              </w:rPr>
              <w:t>2.0</w:t>
            </w:r>
          </w:p>
        </w:tc>
        <w:tc>
          <w:tcPr>
            <w:tcW w:w="2341" w:type="pct"/>
          </w:tcPr>
          <w:p w14:paraId="6B3C6EF1" w14:textId="772D9DA4" w:rsidR="00D8796A" w:rsidRPr="00300BDC" w:rsidRDefault="00300BDC" w:rsidP="00C44974">
            <w:pPr>
              <w:autoSpaceDE w:val="0"/>
              <w:autoSpaceDN w:val="0"/>
              <w:adjustRightInd w:val="0"/>
              <w:spacing w:line="288" w:lineRule="auto"/>
              <w:rPr>
                <w:rFonts w:ascii="Arial" w:hAnsi="Arial" w:cs="Arial"/>
                <w:sz w:val="22"/>
              </w:rPr>
            </w:pPr>
            <w:r w:rsidRPr="00300BDC">
              <w:rPr>
                <w:rFonts w:ascii="Arial" w:hAnsi="Arial" w:cs="Arial"/>
                <w:sz w:val="22"/>
              </w:rPr>
              <w:t xml:space="preserve">van </w:t>
            </w:r>
            <w:proofErr w:type="spellStart"/>
            <w:r w:rsidRPr="00300BDC">
              <w:rPr>
                <w:rFonts w:ascii="Arial" w:hAnsi="Arial" w:cs="Arial"/>
                <w:sz w:val="22"/>
              </w:rPr>
              <w:t>Genuchten</w:t>
            </w:r>
            <w:proofErr w:type="spellEnd"/>
            <w:r w:rsidRPr="00300BDC">
              <w:rPr>
                <w:rFonts w:ascii="Arial" w:hAnsi="Arial" w:cs="Arial"/>
                <w:sz w:val="22"/>
              </w:rPr>
              <w:t xml:space="preserve"> </w:t>
            </w:r>
            <w:r w:rsidR="00C44974">
              <w:rPr>
                <w:rFonts w:ascii="Arial" w:hAnsi="Arial" w:cs="Arial"/>
                <w:sz w:val="22"/>
              </w:rPr>
              <w:t>n</w:t>
            </w:r>
            <w:r w:rsidRPr="00300BDC">
              <w:rPr>
                <w:rFonts w:ascii="Arial" w:hAnsi="Arial" w:cs="Arial"/>
                <w:sz w:val="22"/>
              </w:rPr>
              <w:t>, inversely proportional to water retention</w:t>
            </w:r>
          </w:p>
        </w:tc>
      </w:tr>
      <w:tr w:rsidR="00D8796A" w:rsidRPr="00851C91" w14:paraId="671A07BC" w14:textId="087915B4" w:rsidTr="00C44974">
        <w:trPr>
          <w:jc w:val="center"/>
        </w:trPr>
        <w:tc>
          <w:tcPr>
            <w:tcW w:w="1071" w:type="pct"/>
            <w:vMerge/>
          </w:tcPr>
          <w:p w14:paraId="75D6138A" w14:textId="77777777" w:rsidR="00D8796A" w:rsidRPr="00D8796A" w:rsidRDefault="00D8796A" w:rsidP="0091208B">
            <w:pPr>
              <w:autoSpaceDE w:val="0"/>
              <w:autoSpaceDN w:val="0"/>
              <w:adjustRightInd w:val="0"/>
              <w:spacing w:line="360" w:lineRule="auto"/>
              <w:jc w:val="center"/>
              <w:rPr>
                <w:rFonts w:ascii="Arial" w:hAnsi="Arial" w:cs="Arial"/>
                <w:sz w:val="22"/>
              </w:rPr>
            </w:pPr>
          </w:p>
        </w:tc>
        <w:tc>
          <w:tcPr>
            <w:tcW w:w="842" w:type="pct"/>
          </w:tcPr>
          <w:p w14:paraId="30B87AE3" w14:textId="7AA07C45" w:rsidR="00D8796A" w:rsidRPr="00300BDC" w:rsidRDefault="006846C1" w:rsidP="0091208B">
            <w:pPr>
              <w:autoSpaceDE w:val="0"/>
              <w:autoSpaceDN w:val="0"/>
              <w:adjustRightInd w:val="0"/>
              <w:spacing w:line="360" w:lineRule="auto"/>
              <w:rPr>
                <w:rFonts w:ascii="Arial" w:eastAsia="等线" w:hAnsi="Arial" w:cs="Arial"/>
                <w:sz w:val="22"/>
              </w:rPr>
            </w:pPr>
            <m:oMathPara>
              <m:oMathParaPr>
                <m:jc m:val="left"/>
              </m:oMathParaPr>
              <m:oMath>
                <m:sSub>
                  <m:sSubPr>
                    <m:ctrlPr>
                      <w:rPr>
                        <w:rFonts w:ascii="Cambria Math" w:hAnsi="Cambria Math" w:cs="Arial"/>
                        <w:i/>
                        <w:sz w:val="22"/>
                      </w:rPr>
                    </m:ctrlPr>
                  </m:sSubPr>
                  <m:e>
                    <m:r>
                      <w:rPr>
                        <w:rFonts w:ascii="Cambria Math" w:hAnsi="Cambria Math" w:cs="Arial"/>
                        <w:sz w:val="22"/>
                      </w:rPr>
                      <m:t>Z</m:t>
                    </m:r>
                  </m:e>
                  <m:sub>
                    <m:r>
                      <w:rPr>
                        <w:rFonts w:ascii="Cambria Math" w:hAnsi="Cambria Math" w:cs="Arial"/>
                        <w:sz w:val="22"/>
                      </w:rPr>
                      <m:t>soil</m:t>
                    </m:r>
                  </m:sub>
                </m:sSub>
              </m:oMath>
            </m:oMathPara>
          </w:p>
        </w:tc>
        <w:tc>
          <w:tcPr>
            <w:tcW w:w="746" w:type="pct"/>
          </w:tcPr>
          <w:p w14:paraId="304F23B8" w14:textId="77777777" w:rsidR="00D8796A" w:rsidRPr="00D8796A" w:rsidRDefault="00D8796A" w:rsidP="0091208B">
            <w:pPr>
              <w:autoSpaceDE w:val="0"/>
              <w:autoSpaceDN w:val="0"/>
              <w:adjustRightInd w:val="0"/>
              <w:spacing w:line="360" w:lineRule="auto"/>
              <w:rPr>
                <w:rFonts w:ascii="Arial" w:hAnsi="Arial" w:cs="Arial"/>
                <w:sz w:val="22"/>
              </w:rPr>
            </w:pPr>
            <w:r w:rsidRPr="00D8796A">
              <w:rPr>
                <w:rFonts w:ascii="Arial" w:hAnsi="Arial" w:cs="Arial"/>
                <w:sz w:val="22"/>
              </w:rPr>
              <w:t>2.7</w:t>
            </w:r>
          </w:p>
        </w:tc>
        <w:tc>
          <w:tcPr>
            <w:tcW w:w="2341" w:type="pct"/>
          </w:tcPr>
          <w:p w14:paraId="28426180" w14:textId="1E2328BF" w:rsidR="00D8796A" w:rsidRPr="00300BDC" w:rsidRDefault="00300BDC" w:rsidP="00300BDC">
            <w:pPr>
              <w:autoSpaceDE w:val="0"/>
              <w:autoSpaceDN w:val="0"/>
              <w:adjustRightInd w:val="0"/>
              <w:spacing w:line="288" w:lineRule="auto"/>
              <w:rPr>
                <w:rFonts w:ascii="Arial" w:hAnsi="Arial" w:cs="Arial"/>
                <w:sz w:val="22"/>
              </w:rPr>
            </w:pPr>
            <w:r w:rsidRPr="00300BDC">
              <w:rPr>
                <w:rFonts w:ascii="Arial" w:hAnsi="Arial" w:cs="Arial"/>
                <w:sz w:val="22"/>
              </w:rPr>
              <w:t>soil thickness (m)</w:t>
            </w:r>
          </w:p>
        </w:tc>
      </w:tr>
    </w:tbl>
    <w:p w14:paraId="6CA7927B" w14:textId="77777777" w:rsidR="000C6F56" w:rsidRPr="00464DF9" w:rsidRDefault="000C6F56" w:rsidP="000C6F56">
      <w:pPr>
        <w:pStyle w:val="ListParagraph"/>
        <w:numPr>
          <w:ilvl w:val="0"/>
          <w:numId w:val="14"/>
        </w:numPr>
        <w:autoSpaceDE w:val="0"/>
        <w:autoSpaceDN w:val="0"/>
        <w:adjustRightInd w:val="0"/>
        <w:spacing w:line="288" w:lineRule="auto"/>
        <w:contextualSpacing/>
        <w:jc w:val="both"/>
        <w:rPr>
          <w:rFonts w:ascii="Arial" w:hAnsi="Arial" w:cs="Arial"/>
          <w:sz w:val="22"/>
        </w:rPr>
      </w:pPr>
      <w:r w:rsidRPr="00464DF9">
        <w:rPr>
          <w:rFonts w:ascii="Arial" w:hAnsi="Arial" w:cs="Arial"/>
          <w:sz w:val="22"/>
        </w:rPr>
        <w:t xml:space="preserve">Soil properties are estimated using pedotransfer function </w:t>
      </w:r>
      <w:r w:rsidRPr="00464DF9">
        <w:rPr>
          <w:rFonts w:ascii="Arial" w:hAnsi="Arial" w:cs="Arial"/>
          <w:noProof/>
          <w:sz w:val="22"/>
        </w:rPr>
        <w:t>(Wösten et al., 2001)</w:t>
      </w:r>
      <w:r w:rsidRPr="00464DF9">
        <w:rPr>
          <w:rFonts w:ascii="Arial" w:hAnsi="Arial" w:cs="Arial"/>
          <w:sz w:val="22"/>
        </w:rPr>
        <w:t xml:space="preserve"> based on soil composition </w:t>
      </w:r>
      <w:r w:rsidRPr="00464DF9">
        <w:rPr>
          <w:rFonts w:ascii="Arial" w:hAnsi="Arial" w:cs="Arial" w:hint="eastAsia"/>
          <w:sz w:val="22"/>
        </w:rPr>
        <w:t>derived</w:t>
      </w:r>
      <w:r w:rsidRPr="00464DF9">
        <w:rPr>
          <w:rFonts w:ascii="Arial" w:hAnsi="Arial" w:cs="Arial"/>
          <w:sz w:val="22"/>
        </w:rPr>
        <w:t xml:space="preserve"> </w:t>
      </w:r>
      <w:r w:rsidRPr="00464DF9">
        <w:rPr>
          <w:rFonts w:ascii="Arial" w:hAnsi="Arial" w:cs="Arial" w:hint="eastAsia"/>
          <w:sz w:val="22"/>
        </w:rPr>
        <w:t>from</w:t>
      </w:r>
      <w:r w:rsidRPr="00464DF9">
        <w:rPr>
          <w:rFonts w:ascii="Arial" w:hAnsi="Arial" w:cs="Arial"/>
          <w:sz w:val="22"/>
        </w:rPr>
        <w:t xml:space="preserve"> SSURGO </w:t>
      </w:r>
      <w:r w:rsidRPr="00464DF9">
        <w:rPr>
          <w:rFonts w:ascii="Arial" w:hAnsi="Arial" w:cs="Arial" w:hint="eastAsia"/>
          <w:sz w:val="22"/>
        </w:rPr>
        <w:t>database</w:t>
      </w:r>
      <w:r w:rsidRPr="00464DF9">
        <w:rPr>
          <w:rFonts w:ascii="Arial" w:hAnsi="Arial" w:cs="Arial"/>
          <w:sz w:val="22"/>
        </w:rPr>
        <w:t>.</w:t>
      </w:r>
    </w:p>
    <w:p w14:paraId="1ACFF80E" w14:textId="4BFA7F9C" w:rsidR="000C6F56" w:rsidRPr="00464DF9" w:rsidRDefault="000C6F56" w:rsidP="005E0EFA">
      <w:pPr>
        <w:pStyle w:val="ListParagraph"/>
        <w:numPr>
          <w:ilvl w:val="0"/>
          <w:numId w:val="14"/>
        </w:numPr>
        <w:autoSpaceDE w:val="0"/>
        <w:autoSpaceDN w:val="0"/>
        <w:adjustRightInd w:val="0"/>
        <w:spacing w:line="288" w:lineRule="auto"/>
        <w:contextualSpacing/>
        <w:jc w:val="both"/>
        <w:rPr>
          <w:rFonts w:ascii="Myriad Pro" w:hAnsi="Myriad Pro"/>
          <w:sz w:val="20"/>
          <w:szCs w:val="22"/>
        </w:rPr>
      </w:pPr>
      <w:r w:rsidRPr="00464DF9">
        <w:rPr>
          <w:rFonts w:ascii="Arial" w:hAnsi="Arial" w:cs="Arial"/>
          <w:sz w:val="22"/>
        </w:rPr>
        <w:t xml:space="preserve">Parameters: bolded values are the most sensitive parameters that </w:t>
      </w:r>
      <w:r w:rsidR="00C44974">
        <w:rPr>
          <w:rFonts w:ascii="Arial" w:hAnsi="Arial" w:cs="Arial"/>
          <w:sz w:val="22"/>
        </w:rPr>
        <w:t>reproduce</w:t>
      </w:r>
      <w:r w:rsidRPr="00464DF9">
        <w:rPr>
          <w:rFonts w:ascii="Arial" w:hAnsi="Arial" w:cs="Arial"/>
          <w:sz w:val="22"/>
        </w:rPr>
        <w:t xml:space="preserve"> snow pack and discharge data. </w:t>
      </w:r>
    </w:p>
    <w:p w14:paraId="544079F5" w14:textId="77777777" w:rsidR="00300BDC" w:rsidRPr="00300BDC" w:rsidRDefault="00300BDC" w:rsidP="00300BDC">
      <w:pPr>
        <w:autoSpaceDE w:val="0"/>
        <w:autoSpaceDN w:val="0"/>
        <w:adjustRightInd w:val="0"/>
        <w:spacing w:line="288" w:lineRule="auto"/>
        <w:contextualSpacing/>
        <w:jc w:val="both"/>
        <w:rPr>
          <w:rFonts w:ascii="Myriad Pro" w:hAnsi="Myriad Pro"/>
          <w:sz w:val="22"/>
          <w:szCs w:val="22"/>
        </w:rPr>
      </w:pPr>
    </w:p>
    <w:p w14:paraId="1F923707" w14:textId="1494AC3A" w:rsidR="00B968D7" w:rsidRPr="00300BDC" w:rsidRDefault="0066722B" w:rsidP="00D8796A">
      <w:pPr>
        <w:pStyle w:val="SMHeading"/>
        <w:rPr>
          <w:rFonts w:ascii="Arial" w:hAnsi="Arial" w:cs="Arial"/>
          <w:szCs w:val="22"/>
        </w:rPr>
      </w:pPr>
      <w:r w:rsidRPr="00DA00AF">
        <w:rPr>
          <w:rFonts w:ascii="Myriad Pro" w:hAnsi="Myriad Pro"/>
          <w:szCs w:val="22"/>
        </w:rPr>
        <w:t>Table S1</w:t>
      </w:r>
      <w:r w:rsidRPr="00300BDC">
        <w:rPr>
          <w:rFonts w:ascii="Arial" w:hAnsi="Arial" w:cs="Arial"/>
          <w:szCs w:val="22"/>
        </w:rPr>
        <w:t xml:space="preserve">. </w:t>
      </w:r>
      <w:r w:rsidR="000C6F56" w:rsidRPr="00DA00AF">
        <w:rPr>
          <w:rFonts w:ascii="Myriad Pro" w:hAnsi="Myriad Pro"/>
          <w:b w:val="0"/>
          <w:szCs w:val="22"/>
        </w:rPr>
        <w:t>Hydrology setup and calibration: watershed characteristics and calibrated parameters.</w:t>
      </w:r>
    </w:p>
    <w:p w14:paraId="7F792F84" w14:textId="77777777" w:rsidR="00B9440A" w:rsidRPr="00015F74" w:rsidRDefault="00B9440A" w:rsidP="00B9440A">
      <w:pPr>
        <w:pStyle w:val="SMcaption"/>
      </w:pPr>
    </w:p>
    <w:sectPr w:rsidR="00B9440A" w:rsidRPr="00015F74" w:rsidSect="00F125E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2FEDA" w14:textId="77777777" w:rsidR="006846C1" w:rsidRDefault="006846C1">
      <w:r>
        <w:separator/>
      </w:r>
    </w:p>
  </w:endnote>
  <w:endnote w:type="continuationSeparator" w:id="0">
    <w:p w14:paraId="57AF8FDF" w14:textId="77777777" w:rsidR="006846C1" w:rsidRDefault="00684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auto"/>
    <w:pitch w:val="variable"/>
    <w:sig w:usb0="800002E7" w:usb1="2AC7FCFF" w:usb2="00000012" w:usb3="00000000" w:csb0="0002009F" w:csb1="00000000"/>
  </w:font>
  <w:font w:name="Myriad Pro">
    <w:altName w:val="Corbel"/>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8E7ED" w14:textId="37547BA6" w:rsidR="00F125EE" w:rsidRDefault="00114193">
    <w:pPr>
      <w:pStyle w:val="Footer"/>
      <w:jc w:val="right"/>
    </w:pPr>
    <w:r>
      <w:fldChar w:fldCharType="begin"/>
    </w:r>
    <w:r>
      <w:instrText xml:space="preserve"> PAGE   \* MERGEFORMAT </w:instrText>
    </w:r>
    <w:r>
      <w:fldChar w:fldCharType="separate"/>
    </w:r>
    <w:r w:rsidR="009F622E">
      <w:rPr>
        <w:noProof/>
      </w:rPr>
      <w:t>1</w:t>
    </w:r>
    <w:r>
      <w:fldChar w:fldCharType="end"/>
    </w:r>
  </w:p>
  <w:p w14:paraId="486656F3"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22A01" w14:textId="77777777" w:rsidR="006846C1" w:rsidRDefault="006846C1">
      <w:r>
        <w:separator/>
      </w:r>
    </w:p>
  </w:footnote>
  <w:footnote w:type="continuationSeparator" w:id="0">
    <w:p w14:paraId="56BC1A20" w14:textId="77777777" w:rsidR="006846C1" w:rsidRDefault="00684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23C1C" w14:textId="77777777" w:rsidR="003A2FD8" w:rsidRPr="005001AC" w:rsidRDefault="003A2FD8" w:rsidP="005001AC">
    <w:pPr>
      <w:jc w:val="right"/>
      <w:rPr>
        <w:sz w:val="20"/>
      </w:rPr>
    </w:pPr>
  </w:p>
  <w:p w14:paraId="18F8F636"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44359"/>
    <w:multiLevelType w:val="hybridMultilevel"/>
    <w:tmpl w:val="4E4C2CD2"/>
    <w:lvl w:ilvl="0" w:tplc="DA06AF5E">
      <w:start w:val="2"/>
      <w:numFmt w:val="bullet"/>
      <w:lvlText w:val="-"/>
      <w:lvlJc w:val="left"/>
      <w:pPr>
        <w:ind w:left="360" w:hanging="360"/>
      </w:pPr>
      <w:rPr>
        <w:rFonts w:ascii="Arial" w:eastAsia="宋体"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U0szAyNjQ0MbUwMDBS0lEKTi0uzszPAykwrAUAbRQWHiwAAAA="/>
  </w:docVars>
  <w:rsids>
    <w:rsidRoot w:val="002C030F"/>
    <w:rsid w:val="00015F74"/>
    <w:rsid w:val="00043571"/>
    <w:rsid w:val="00055B0C"/>
    <w:rsid w:val="00065EBD"/>
    <w:rsid w:val="00083B44"/>
    <w:rsid w:val="000850DC"/>
    <w:rsid w:val="00094365"/>
    <w:rsid w:val="000A47D2"/>
    <w:rsid w:val="000B2E64"/>
    <w:rsid w:val="000C2771"/>
    <w:rsid w:val="000C6F56"/>
    <w:rsid w:val="000D68BD"/>
    <w:rsid w:val="000F0DCE"/>
    <w:rsid w:val="00111843"/>
    <w:rsid w:val="00112C5B"/>
    <w:rsid w:val="00113908"/>
    <w:rsid w:val="00114193"/>
    <w:rsid w:val="001154E6"/>
    <w:rsid w:val="00115A38"/>
    <w:rsid w:val="0011687B"/>
    <w:rsid w:val="00124F82"/>
    <w:rsid w:val="001278E3"/>
    <w:rsid w:val="00130743"/>
    <w:rsid w:val="00130B50"/>
    <w:rsid w:val="0016337A"/>
    <w:rsid w:val="00164269"/>
    <w:rsid w:val="001966FD"/>
    <w:rsid w:val="00197826"/>
    <w:rsid w:val="001A1BDE"/>
    <w:rsid w:val="001C7B4E"/>
    <w:rsid w:val="001F0876"/>
    <w:rsid w:val="001F167C"/>
    <w:rsid w:val="001F5E91"/>
    <w:rsid w:val="0020183F"/>
    <w:rsid w:val="002077B9"/>
    <w:rsid w:val="0021411D"/>
    <w:rsid w:val="00221C70"/>
    <w:rsid w:val="002251AF"/>
    <w:rsid w:val="00227D86"/>
    <w:rsid w:val="00243B68"/>
    <w:rsid w:val="00262D72"/>
    <w:rsid w:val="002800B6"/>
    <w:rsid w:val="002B35D4"/>
    <w:rsid w:val="002C030F"/>
    <w:rsid w:val="002F3966"/>
    <w:rsid w:val="00300BDC"/>
    <w:rsid w:val="00320E2C"/>
    <w:rsid w:val="00331D75"/>
    <w:rsid w:val="003322F9"/>
    <w:rsid w:val="00355362"/>
    <w:rsid w:val="00363E44"/>
    <w:rsid w:val="00395E86"/>
    <w:rsid w:val="003A2FD8"/>
    <w:rsid w:val="003B2AA0"/>
    <w:rsid w:val="003B40E6"/>
    <w:rsid w:val="003C007A"/>
    <w:rsid w:val="003D2DC9"/>
    <w:rsid w:val="003D413A"/>
    <w:rsid w:val="003E1980"/>
    <w:rsid w:val="003E3273"/>
    <w:rsid w:val="003F6E14"/>
    <w:rsid w:val="00405336"/>
    <w:rsid w:val="004452FA"/>
    <w:rsid w:val="004568BC"/>
    <w:rsid w:val="004571D5"/>
    <w:rsid w:val="00462F1B"/>
    <w:rsid w:val="0046356B"/>
    <w:rsid w:val="00464DF9"/>
    <w:rsid w:val="00466C35"/>
    <w:rsid w:val="00477182"/>
    <w:rsid w:val="004779CB"/>
    <w:rsid w:val="00481118"/>
    <w:rsid w:val="004B2481"/>
    <w:rsid w:val="004D2A8C"/>
    <w:rsid w:val="004E42D8"/>
    <w:rsid w:val="004E7BA2"/>
    <w:rsid w:val="004F7EDF"/>
    <w:rsid w:val="005001AC"/>
    <w:rsid w:val="00517016"/>
    <w:rsid w:val="00527D71"/>
    <w:rsid w:val="00527D84"/>
    <w:rsid w:val="005314B5"/>
    <w:rsid w:val="0054432F"/>
    <w:rsid w:val="00552C23"/>
    <w:rsid w:val="00553684"/>
    <w:rsid w:val="005553A8"/>
    <w:rsid w:val="005607DD"/>
    <w:rsid w:val="005728B6"/>
    <w:rsid w:val="00572DFF"/>
    <w:rsid w:val="005A558C"/>
    <w:rsid w:val="005B186E"/>
    <w:rsid w:val="005C6651"/>
    <w:rsid w:val="005D6D71"/>
    <w:rsid w:val="005E28F8"/>
    <w:rsid w:val="005E6513"/>
    <w:rsid w:val="00607BEE"/>
    <w:rsid w:val="00611F9E"/>
    <w:rsid w:val="006237D4"/>
    <w:rsid w:val="00625B81"/>
    <w:rsid w:val="00651114"/>
    <w:rsid w:val="006622CF"/>
    <w:rsid w:val="00664A12"/>
    <w:rsid w:val="0066722B"/>
    <w:rsid w:val="00670299"/>
    <w:rsid w:val="00677A95"/>
    <w:rsid w:val="0068469F"/>
    <w:rsid w:val="006846C1"/>
    <w:rsid w:val="00691985"/>
    <w:rsid w:val="006962C1"/>
    <w:rsid w:val="006A1B64"/>
    <w:rsid w:val="006B03AD"/>
    <w:rsid w:val="006F602A"/>
    <w:rsid w:val="007108F5"/>
    <w:rsid w:val="00713AF2"/>
    <w:rsid w:val="00713E5B"/>
    <w:rsid w:val="007402FC"/>
    <w:rsid w:val="007411A1"/>
    <w:rsid w:val="007563F2"/>
    <w:rsid w:val="00764008"/>
    <w:rsid w:val="00773E17"/>
    <w:rsid w:val="007A3093"/>
    <w:rsid w:val="00804270"/>
    <w:rsid w:val="00807D35"/>
    <w:rsid w:val="008115D9"/>
    <w:rsid w:val="00817129"/>
    <w:rsid w:val="00825950"/>
    <w:rsid w:val="00885C9B"/>
    <w:rsid w:val="008927D0"/>
    <w:rsid w:val="008D5D2A"/>
    <w:rsid w:val="008E2CF1"/>
    <w:rsid w:val="008F08DC"/>
    <w:rsid w:val="008F5A8A"/>
    <w:rsid w:val="009055D1"/>
    <w:rsid w:val="00914B63"/>
    <w:rsid w:val="00922705"/>
    <w:rsid w:val="00924546"/>
    <w:rsid w:val="00932FE5"/>
    <w:rsid w:val="009354F3"/>
    <w:rsid w:val="009447DC"/>
    <w:rsid w:val="00961BA5"/>
    <w:rsid w:val="009743A9"/>
    <w:rsid w:val="00975720"/>
    <w:rsid w:val="009859A7"/>
    <w:rsid w:val="009A5287"/>
    <w:rsid w:val="009B2AC5"/>
    <w:rsid w:val="009B7984"/>
    <w:rsid w:val="009F4BED"/>
    <w:rsid w:val="009F622E"/>
    <w:rsid w:val="009F7D93"/>
    <w:rsid w:val="00A276DF"/>
    <w:rsid w:val="00A3084A"/>
    <w:rsid w:val="00A3403B"/>
    <w:rsid w:val="00A50033"/>
    <w:rsid w:val="00A51A12"/>
    <w:rsid w:val="00A627D4"/>
    <w:rsid w:val="00A74DA2"/>
    <w:rsid w:val="00A92733"/>
    <w:rsid w:val="00AA76F3"/>
    <w:rsid w:val="00AC7DA6"/>
    <w:rsid w:val="00AD499C"/>
    <w:rsid w:val="00AE031F"/>
    <w:rsid w:val="00AE61A9"/>
    <w:rsid w:val="00B206C6"/>
    <w:rsid w:val="00B30334"/>
    <w:rsid w:val="00B3147F"/>
    <w:rsid w:val="00B36869"/>
    <w:rsid w:val="00B43B31"/>
    <w:rsid w:val="00B47CFA"/>
    <w:rsid w:val="00B57F00"/>
    <w:rsid w:val="00B626CB"/>
    <w:rsid w:val="00B7560C"/>
    <w:rsid w:val="00B77E40"/>
    <w:rsid w:val="00B82C22"/>
    <w:rsid w:val="00B93DBA"/>
    <w:rsid w:val="00B9440A"/>
    <w:rsid w:val="00B952C1"/>
    <w:rsid w:val="00B968D7"/>
    <w:rsid w:val="00BA3953"/>
    <w:rsid w:val="00BA5092"/>
    <w:rsid w:val="00BB2D2A"/>
    <w:rsid w:val="00BC791C"/>
    <w:rsid w:val="00BD58CF"/>
    <w:rsid w:val="00BF1BEB"/>
    <w:rsid w:val="00BF1BF9"/>
    <w:rsid w:val="00C04CC1"/>
    <w:rsid w:val="00C071FC"/>
    <w:rsid w:val="00C22C02"/>
    <w:rsid w:val="00C27F6F"/>
    <w:rsid w:val="00C30E83"/>
    <w:rsid w:val="00C44974"/>
    <w:rsid w:val="00C50C6D"/>
    <w:rsid w:val="00C600D9"/>
    <w:rsid w:val="00C634D7"/>
    <w:rsid w:val="00C72291"/>
    <w:rsid w:val="00C73E09"/>
    <w:rsid w:val="00CC1384"/>
    <w:rsid w:val="00CD3720"/>
    <w:rsid w:val="00CE6EAA"/>
    <w:rsid w:val="00CF1848"/>
    <w:rsid w:val="00CF5C2F"/>
    <w:rsid w:val="00D04BCF"/>
    <w:rsid w:val="00D10134"/>
    <w:rsid w:val="00D143D9"/>
    <w:rsid w:val="00D4372A"/>
    <w:rsid w:val="00D60BB0"/>
    <w:rsid w:val="00D65708"/>
    <w:rsid w:val="00D8159F"/>
    <w:rsid w:val="00D8796A"/>
    <w:rsid w:val="00DA00AF"/>
    <w:rsid w:val="00DD1D04"/>
    <w:rsid w:val="00DD79D7"/>
    <w:rsid w:val="00E20431"/>
    <w:rsid w:val="00E257C8"/>
    <w:rsid w:val="00E40896"/>
    <w:rsid w:val="00E43D2D"/>
    <w:rsid w:val="00E449CB"/>
    <w:rsid w:val="00E63760"/>
    <w:rsid w:val="00E64049"/>
    <w:rsid w:val="00E9773B"/>
    <w:rsid w:val="00EC13A3"/>
    <w:rsid w:val="00EC7C85"/>
    <w:rsid w:val="00ED69CA"/>
    <w:rsid w:val="00EE35AB"/>
    <w:rsid w:val="00EF25A3"/>
    <w:rsid w:val="00F125EE"/>
    <w:rsid w:val="00F12E98"/>
    <w:rsid w:val="00F22029"/>
    <w:rsid w:val="00F23E46"/>
    <w:rsid w:val="00F3515C"/>
    <w:rsid w:val="00F47BA3"/>
    <w:rsid w:val="00F56E67"/>
    <w:rsid w:val="00F630EA"/>
    <w:rsid w:val="00F6474F"/>
    <w:rsid w:val="00F7007E"/>
    <w:rsid w:val="00F73193"/>
    <w:rsid w:val="00F74F95"/>
    <w:rsid w:val="00F80705"/>
    <w:rsid w:val="00FA1481"/>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semiHidden="1"/>
    <w:lsdException w:name="annotation reference" w:semiHidden="1" w:uiPriority="99"/>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unhideWhenUsed="1"/>
    <w:lsdException w:name="HTML Typewriter" w:semiHidden="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uiPriority w:val="99"/>
    <w:rsid w:val="00405336"/>
    <w:rPr>
      <w:sz w:val="20"/>
    </w:rPr>
  </w:style>
  <w:style w:type="character" w:customStyle="1" w:styleId="CommentTextChar">
    <w:name w:val="Comment Text Char"/>
    <w:basedOn w:val="DefaultParagraphFont"/>
    <w:link w:val="CommentText"/>
    <w:uiPriority w:val="99"/>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uiPriority w:val="99"/>
    <w:semiHidden/>
    <w:rsid w:val="002800B6"/>
    <w:rPr>
      <w:sz w:val="16"/>
      <w:szCs w:val="16"/>
    </w:rPr>
  </w:style>
  <w:style w:type="table" w:styleId="TableGrid">
    <w:name w:val="Table Grid"/>
    <w:basedOn w:val="TableNormal"/>
    <w:uiPriority w:val="39"/>
    <w:rsid w:val="000C6F56"/>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rsid w:val="00300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li@engr.psu.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Wei Zhi</cp:lastModifiedBy>
  <cp:revision>7</cp:revision>
  <cp:lastPrinted>2014-09-30T16:49:00Z</cp:lastPrinted>
  <dcterms:created xsi:type="dcterms:W3CDTF">2019-01-29T04:55:00Z</dcterms:created>
  <dcterms:modified xsi:type="dcterms:W3CDTF">2019-03-02T02:51:00Z</dcterms:modified>
</cp:coreProperties>
</file>