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ECD6" w14:textId="12B27FF6" w:rsidR="009055FF" w:rsidRPr="009055FF" w:rsidRDefault="009055FF" w:rsidP="009055FF">
      <w:r w:rsidRPr="009055FF">
        <w:t>对扩增的</w:t>
      </w:r>
      <w:r w:rsidRPr="009055FF">
        <w:t>sgRNA</w:t>
      </w:r>
      <w:r w:rsidRPr="009055FF">
        <w:t>文库进行下一代测序以确定</w:t>
      </w:r>
      <w:r w:rsidRPr="009055FF">
        <w:t>sgRNA</w:t>
      </w:r>
      <w:r w:rsidRPr="009055FF">
        <w:t>分布</w:t>
      </w:r>
    </w:p>
    <w:p w14:paraId="683DB66A" w14:textId="77777777" w:rsidR="009055FF" w:rsidRPr="009055FF" w:rsidRDefault="009055FF" w:rsidP="009055FF">
      <w:r w:rsidRPr="009055FF">
        <w:t>时间</w:t>
      </w:r>
      <w:r w:rsidRPr="009055FF">
        <w:t xml:space="preserve"> 3-5</w:t>
      </w:r>
      <w:r w:rsidRPr="009055FF">
        <w:t>天</w:t>
      </w:r>
    </w:p>
    <w:p w14:paraId="54D93D75" w14:textId="77777777" w:rsidR="009055FF" w:rsidRPr="009055FF" w:rsidRDefault="009055FF" w:rsidP="009055FF"/>
    <w:p w14:paraId="6E99E815" w14:textId="1E22E019" w:rsidR="009055FF" w:rsidRPr="009055FF" w:rsidRDefault="009055FF" w:rsidP="009055FF">
      <w:r w:rsidRPr="009055FF">
        <w:t xml:space="preserve">32 </w:t>
      </w:r>
      <w:r w:rsidRPr="009055FF">
        <w:t>NGS</w:t>
      </w:r>
      <w:r w:rsidRPr="009055FF">
        <w:t>文库</w:t>
      </w:r>
      <w:r w:rsidRPr="009055FF">
        <w:t>PCR</w:t>
      </w:r>
      <w:r w:rsidRPr="009055FF">
        <w:t>。我们提供了使用</w:t>
      </w:r>
      <w:r w:rsidRPr="009055FF">
        <w:t>Illumina</w:t>
      </w:r>
      <w:r w:rsidRPr="009055FF">
        <w:t>接头序列扩增</w:t>
      </w:r>
      <w:r w:rsidRPr="009055FF">
        <w:t>sgRNA</w:t>
      </w:r>
      <w:r w:rsidRPr="009055FF">
        <w:t>靶区域的</w:t>
      </w:r>
      <w:r w:rsidRPr="009055FF">
        <w:t>NGS</w:t>
      </w:r>
      <w:r w:rsidRPr="009055FF">
        <w:t>引物（表</w:t>
      </w:r>
      <w:r w:rsidRPr="009055FF">
        <w:t>3</w:t>
      </w:r>
      <w:r w:rsidRPr="009055FF">
        <w:t>）。要为</w:t>
      </w:r>
      <w:r w:rsidRPr="009055FF">
        <w:t>NGS</w:t>
      </w:r>
      <w:r w:rsidRPr="009055FF">
        <w:t>准备</w:t>
      </w:r>
      <w:r w:rsidRPr="009055FF">
        <w:t>sgRNA</w:t>
      </w:r>
      <w:r w:rsidRPr="009055FF">
        <w:t>文库，请为</w:t>
      </w:r>
      <w:r w:rsidRPr="009055FF">
        <w:t>10</w:t>
      </w:r>
      <w:r w:rsidRPr="009055FF">
        <w:t>个</w:t>
      </w:r>
      <w:r w:rsidRPr="009055FF">
        <w:t>NGS-Lib-</w:t>
      </w:r>
      <w:proofErr w:type="spellStart"/>
      <w:r w:rsidRPr="009055FF">
        <w:t>Fwd</w:t>
      </w:r>
      <w:proofErr w:type="spellEnd"/>
      <w:r w:rsidRPr="009055FF">
        <w:t>引物和</w:t>
      </w:r>
      <w:r w:rsidRPr="009055FF">
        <w:t>1</w:t>
      </w:r>
      <w:r w:rsidRPr="009055FF">
        <w:t>个</w:t>
      </w:r>
      <w:r w:rsidRPr="009055FF">
        <w:t>NGS-Lib-KO-Rev</w:t>
      </w:r>
      <w:r w:rsidRPr="009055FF">
        <w:t>或</w:t>
      </w:r>
      <w:r w:rsidRPr="009055FF">
        <w:t>NGS-Lib-SAM-Rev</w:t>
      </w:r>
      <w:r w:rsidRPr="009055FF">
        <w:t>条形码引物中的每一个设置一个反应，如下所示：</w:t>
      </w:r>
    </w:p>
    <w:p w14:paraId="21695B8D" w14:textId="77777777" w:rsidR="009055FF" w:rsidRPr="009055FF" w:rsidRDefault="009055FF" w:rsidP="009055FF">
      <w:pPr>
        <w:rPr>
          <w:b/>
          <w:bCs/>
        </w:rPr>
      </w:pPr>
      <w:r w:rsidRPr="009055FF">
        <w:rPr>
          <w:b/>
          <w:bCs/>
        </w:rPr>
        <w:t>表</w:t>
      </w:r>
      <w:r w:rsidRPr="009055FF">
        <w:rPr>
          <w:b/>
          <w:bCs/>
        </w:rPr>
        <w:t xml:space="preserve">3 </w:t>
      </w:r>
      <w:r w:rsidRPr="009055FF">
        <w:rPr>
          <w:b/>
          <w:bCs/>
        </w:rPr>
        <w:t>扩增</w:t>
      </w:r>
      <w:r w:rsidRPr="009055FF">
        <w:rPr>
          <w:b/>
          <w:bCs/>
        </w:rPr>
        <w:t>sgRNA</w:t>
      </w:r>
      <w:r w:rsidRPr="009055FF">
        <w:rPr>
          <w:b/>
          <w:bCs/>
        </w:rPr>
        <w:t>文库和</w:t>
      </w:r>
      <w:r w:rsidRPr="009055FF">
        <w:rPr>
          <w:b/>
          <w:bCs/>
        </w:rPr>
        <w:t>NGS</w:t>
      </w:r>
      <w:r w:rsidRPr="009055FF">
        <w:rPr>
          <w:b/>
          <w:bCs/>
        </w:rPr>
        <w:t>的引物序列。</w:t>
      </w:r>
    </w:p>
    <w:p w14:paraId="6782FCA9" w14:textId="1A77D95C" w:rsidR="009055FF" w:rsidRPr="009055FF" w:rsidRDefault="009055FF" w:rsidP="009055FF">
      <w:r w:rsidRPr="009055FF">
        <w:t>10</w:t>
      </w:r>
      <w:r w:rsidRPr="009055FF">
        <w:t>种不同的</w:t>
      </w:r>
      <w:r w:rsidRPr="009055FF">
        <w:t>NGS-Lib-</w:t>
      </w:r>
      <w:proofErr w:type="spellStart"/>
      <w:r w:rsidRPr="009055FF">
        <w:t>Fwd</w:t>
      </w:r>
      <w:proofErr w:type="spellEnd"/>
      <w:r w:rsidRPr="009055FF">
        <w:t>引物各自在</w:t>
      </w:r>
      <w:r w:rsidRPr="009055FF">
        <w:t>Illumina Read</w:t>
      </w:r>
      <w:r>
        <w:t xml:space="preserve"> </w:t>
      </w:r>
      <w:r w:rsidRPr="009055FF">
        <w:t>1</w:t>
      </w:r>
      <w:r w:rsidRPr="009055FF">
        <w:t>测序引物后含有</w:t>
      </w:r>
      <w:r w:rsidRPr="009055FF">
        <w:t>1-10</w:t>
      </w:r>
      <w:r w:rsidRPr="009055FF">
        <w:t>个额外的核苷酸，旨在增加</w:t>
      </w:r>
      <w:r w:rsidRPr="009055FF">
        <w:t>NGS</w:t>
      </w:r>
      <w:r w:rsidRPr="009055FF">
        <w:t>文库的多样性。扩增</w:t>
      </w:r>
      <w:r w:rsidRPr="009055FF">
        <w:t>NGS</w:t>
      </w:r>
      <w:r w:rsidRPr="009055FF">
        <w:t>的</w:t>
      </w:r>
      <w:r w:rsidRPr="009055FF">
        <w:t>sgRNA</w:t>
      </w:r>
      <w:r w:rsidRPr="009055FF">
        <w:t>文库时需要所有</w:t>
      </w:r>
      <w:r w:rsidRPr="009055FF">
        <w:t>10</w:t>
      </w:r>
      <w:r w:rsidRPr="009055FF">
        <w:t>种</w:t>
      </w:r>
      <w:r w:rsidRPr="009055FF">
        <w:t>NGS-Lib-</w:t>
      </w:r>
      <w:proofErr w:type="spellStart"/>
      <w:r w:rsidRPr="009055FF">
        <w:t>Fwd</w:t>
      </w:r>
      <w:proofErr w:type="spellEnd"/>
      <w:r w:rsidRPr="009055FF">
        <w:t>引物。</w:t>
      </w:r>
      <w:r w:rsidRPr="009055FF">
        <w:t>8</w:t>
      </w:r>
      <w:r w:rsidRPr="009055FF">
        <w:t>种</w:t>
      </w:r>
      <w:r w:rsidRPr="009055FF">
        <w:t>NGS-Lib-Rev</w:t>
      </w:r>
      <w:r w:rsidRPr="009055FF">
        <w:t>引物提供独特的条形码（粗体）用于区分混合测序运行中的不同</w:t>
      </w:r>
      <w:r w:rsidRPr="009055FF">
        <w:t>sgRNA</w:t>
      </w:r>
      <w:r w:rsidRPr="009055FF">
        <w:t>文库（例如，</w:t>
      </w:r>
      <w:r w:rsidRPr="009055FF">
        <w:t>4</w:t>
      </w:r>
      <w:r w:rsidRPr="009055FF">
        <w:t>个筛选生物代表的实验和控制条件），所需的</w:t>
      </w:r>
      <w:r w:rsidRPr="009055FF">
        <w:t>NGS-Lib-Rev</w:t>
      </w:r>
      <w:r w:rsidRPr="009055FF">
        <w:t>引物数量取决于混合运行中要一起测序的不同</w:t>
      </w:r>
      <w:r w:rsidRPr="009055FF">
        <w:t>sgRNA</w:t>
      </w:r>
      <w:r w:rsidRPr="009055FF">
        <w:t>文库的数量。由于</w:t>
      </w:r>
      <w:proofErr w:type="spellStart"/>
      <w:r w:rsidRPr="009055FF">
        <w:t>GeCKO</w:t>
      </w:r>
      <w:proofErr w:type="spellEnd"/>
      <w:r w:rsidRPr="009055FF">
        <w:t>和</w:t>
      </w:r>
      <w:r w:rsidRPr="009055FF">
        <w:t>SAM</w:t>
      </w:r>
      <w:r w:rsidRPr="009055FF">
        <w:t>文库之间的</w:t>
      </w:r>
      <w:r w:rsidRPr="009055FF">
        <w:t>sgRNA</w:t>
      </w:r>
      <w:r w:rsidRPr="009055FF">
        <w:t>骨架不同，因此为每个文库提供了单独的</w:t>
      </w:r>
      <w:r w:rsidRPr="009055FF">
        <w:t>NGS-Lib-KO-Rev</w:t>
      </w:r>
      <w:r w:rsidRPr="009055FF">
        <w:t>和</w:t>
      </w:r>
      <w:r w:rsidRPr="009055FF">
        <w:t>NGS-Lib-SAM-Rev</w:t>
      </w:r>
      <w:r w:rsidRPr="009055FF">
        <w:t>引物。</w:t>
      </w:r>
    </w:p>
    <w:p w14:paraId="2723C12E" w14:textId="77777777" w:rsidR="009055FF" w:rsidRPr="009055FF" w:rsidRDefault="009055FF" w:rsidP="009055FF"/>
    <w:p w14:paraId="21B6B6C3" w14:textId="0FB231A1" w:rsidR="009055FF" w:rsidRPr="009055FF" w:rsidRDefault="009055FF" w:rsidP="009055FF">
      <w:pPr>
        <w:rPr>
          <w:b/>
          <w:bCs/>
        </w:rPr>
      </w:pPr>
      <w:r w:rsidRPr="009055FF">
        <w:rPr>
          <w:b/>
          <w:bCs/>
        </w:rPr>
        <w:t>表</w:t>
      </w:r>
      <w:r w:rsidRPr="009055FF">
        <w:rPr>
          <w:b/>
          <w:bCs/>
        </w:rPr>
        <w:t>20</w:t>
      </w:r>
    </w:p>
    <w:p w14:paraId="798E2164" w14:textId="77777777" w:rsidR="009055FF" w:rsidRPr="009055FF" w:rsidRDefault="009055FF" w:rsidP="009055FF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1842"/>
        <w:gridCol w:w="1497"/>
      </w:tblGrid>
      <w:tr w:rsidR="009055FF" w:rsidRPr="00754C47" w14:paraId="5C5389E3" w14:textId="77777777" w:rsidTr="00F16D26">
        <w:trPr>
          <w:tblHeader/>
        </w:trPr>
        <w:tc>
          <w:tcPr>
            <w:tcW w:w="4957" w:type="dxa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412473" w14:textId="77777777" w:rsidR="009055FF" w:rsidRPr="00754C47" w:rsidRDefault="009055FF" w:rsidP="00F16D26">
            <w:pPr>
              <w:rPr>
                <w:b/>
                <w:bCs/>
                <w:sz w:val="20"/>
                <w:szCs w:val="20"/>
              </w:rPr>
            </w:pPr>
            <w:r w:rsidRPr="00754C47">
              <w:rPr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1842" w:type="dxa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201515" w14:textId="77777777" w:rsidR="009055FF" w:rsidRPr="00754C47" w:rsidRDefault="009055FF" w:rsidP="00F16D26">
            <w:pPr>
              <w:rPr>
                <w:b/>
                <w:bCs/>
                <w:sz w:val="20"/>
                <w:szCs w:val="20"/>
              </w:rPr>
            </w:pPr>
            <w:r w:rsidRPr="00754C47">
              <w:rPr>
                <w:b/>
                <w:bCs/>
                <w:sz w:val="20"/>
                <w:szCs w:val="20"/>
              </w:rPr>
              <w:t>Amount per reaction (</w:t>
            </w:r>
            <w:proofErr w:type="spellStart"/>
            <w:r w:rsidRPr="00754C47">
              <w:rPr>
                <w:b/>
                <w:bCs/>
                <w:sz w:val="20"/>
                <w:szCs w:val="20"/>
              </w:rPr>
              <w:t>μl</w:t>
            </w:r>
            <w:proofErr w:type="spellEnd"/>
            <w:r w:rsidRPr="00754C4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97" w:type="dxa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D5C782" w14:textId="77777777" w:rsidR="009055FF" w:rsidRPr="00754C47" w:rsidRDefault="009055FF" w:rsidP="00F16D26">
            <w:pPr>
              <w:rPr>
                <w:b/>
                <w:bCs/>
                <w:sz w:val="20"/>
                <w:szCs w:val="20"/>
              </w:rPr>
            </w:pPr>
            <w:r w:rsidRPr="00754C47">
              <w:rPr>
                <w:b/>
                <w:bCs/>
                <w:sz w:val="20"/>
                <w:szCs w:val="20"/>
              </w:rPr>
              <w:t>Final concentration</w:t>
            </w:r>
          </w:p>
        </w:tc>
      </w:tr>
      <w:tr w:rsidR="009055FF" w:rsidRPr="00754C47" w14:paraId="1EA7CE5B" w14:textId="77777777" w:rsidTr="00F16D26">
        <w:tc>
          <w:tcPr>
            <w:tcW w:w="49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DDA422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proofErr w:type="spellStart"/>
            <w:r w:rsidRPr="00754C47">
              <w:rPr>
                <w:sz w:val="20"/>
                <w:szCs w:val="20"/>
              </w:rPr>
              <w:t>NEBNext</w:t>
            </w:r>
            <w:proofErr w:type="spellEnd"/>
            <w:r w:rsidRPr="00754C47">
              <w:rPr>
                <w:sz w:val="20"/>
                <w:szCs w:val="20"/>
              </w:rPr>
              <w:t xml:space="preserve"> High Fidelity PCR Master Mix, 2×</w:t>
            </w:r>
          </w:p>
        </w:tc>
        <w:tc>
          <w:tcPr>
            <w:tcW w:w="1842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EE5796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25</w:t>
            </w:r>
          </w:p>
        </w:tc>
        <w:tc>
          <w:tcPr>
            <w:tcW w:w="149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2A2E7E9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1×</w:t>
            </w:r>
          </w:p>
        </w:tc>
      </w:tr>
      <w:tr w:rsidR="009055FF" w:rsidRPr="00754C47" w14:paraId="173012F6" w14:textId="77777777" w:rsidTr="00F16D26">
        <w:tc>
          <w:tcPr>
            <w:tcW w:w="49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A44470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Pooled sgRNA library template from Step 31</w:t>
            </w:r>
          </w:p>
        </w:tc>
        <w:tc>
          <w:tcPr>
            <w:tcW w:w="1842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E24C31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1</w:t>
            </w:r>
          </w:p>
        </w:tc>
        <w:tc>
          <w:tcPr>
            <w:tcW w:w="149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919C90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0.4 ng μl</w:t>
            </w:r>
            <w:r w:rsidRPr="00754C47">
              <w:rPr>
                <w:sz w:val="20"/>
                <w:szCs w:val="20"/>
                <w:vertAlign w:val="superscript"/>
              </w:rPr>
              <w:t>−1</w:t>
            </w:r>
          </w:p>
        </w:tc>
      </w:tr>
      <w:tr w:rsidR="009055FF" w:rsidRPr="00754C47" w14:paraId="6D2E961D" w14:textId="77777777" w:rsidTr="00F16D26">
        <w:tc>
          <w:tcPr>
            <w:tcW w:w="49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542842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NGS-Lib-</w:t>
            </w:r>
            <w:proofErr w:type="spellStart"/>
            <w:r w:rsidRPr="00754C47">
              <w:rPr>
                <w:sz w:val="20"/>
                <w:szCs w:val="20"/>
              </w:rPr>
              <w:t>Fwd</w:t>
            </w:r>
            <w:proofErr w:type="spellEnd"/>
            <w:r w:rsidRPr="00754C47">
              <w:rPr>
                <w:sz w:val="20"/>
                <w:szCs w:val="20"/>
              </w:rPr>
              <w:t xml:space="preserve"> primer (unique)</w:t>
            </w:r>
          </w:p>
        </w:tc>
        <w:tc>
          <w:tcPr>
            <w:tcW w:w="1842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992AFD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1322E6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 xml:space="preserve">0.25 </w:t>
            </w:r>
            <w:proofErr w:type="spellStart"/>
            <w:r w:rsidRPr="00754C47">
              <w:rPr>
                <w:sz w:val="20"/>
                <w:szCs w:val="20"/>
              </w:rPr>
              <w:t>μM</w:t>
            </w:r>
            <w:proofErr w:type="spellEnd"/>
          </w:p>
        </w:tc>
      </w:tr>
      <w:tr w:rsidR="009055FF" w:rsidRPr="00754C47" w14:paraId="23A1C625" w14:textId="77777777" w:rsidTr="00F16D26">
        <w:tc>
          <w:tcPr>
            <w:tcW w:w="49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41B818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NGS-Lib-KO-Rev or NGS-Lib-SAM-Rev primer (barcode)</w:t>
            </w:r>
          </w:p>
        </w:tc>
        <w:tc>
          <w:tcPr>
            <w:tcW w:w="1842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403761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1.25</w:t>
            </w:r>
          </w:p>
        </w:tc>
        <w:tc>
          <w:tcPr>
            <w:tcW w:w="149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9942BA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 xml:space="preserve">0.25 </w:t>
            </w:r>
            <w:proofErr w:type="spellStart"/>
            <w:r w:rsidRPr="00754C47">
              <w:rPr>
                <w:sz w:val="20"/>
                <w:szCs w:val="20"/>
              </w:rPr>
              <w:t>μM</w:t>
            </w:r>
            <w:proofErr w:type="spellEnd"/>
          </w:p>
        </w:tc>
      </w:tr>
      <w:tr w:rsidR="009055FF" w:rsidRPr="00754C47" w14:paraId="393958AC" w14:textId="77777777" w:rsidTr="00F16D26">
        <w:tc>
          <w:tcPr>
            <w:tcW w:w="49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3B347D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proofErr w:type="spellStart"/>
            <w:r w:rsidRPr="00754C47">
              <w:rPr>
                <w:sz w:val="20"/>
                <w:szCs w:val="20"/>
              </w:rPr>
              <w:t>UltraPure</w:t>
            </w:r>
            <w:proofErr w:type="spellEnd"/>
            <w:r w:rsidRPr="00754C47">
              <w:rPr>
                <w:sz w:val="20"/>
                <w:szCs w:val="20"/>
              </w:rPr>
              <w:t xml:space="preserve"> water</w:t>
            </w:r>
          </w:p>
        </w:tc>
        <w:tc>
          <w:tcPr>
            <w:tcW w:w="1842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5957FB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21.5</w:t>
            </w:r>
          </w:p>
        </w:tc>
        <w:tc>
          <w:tcPr>
            <w:tcW w:w="149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0911757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 </w:t>
            </w:r>
          </w:p>
        </w:tc>
      </w:tr>
      <w:tr w:rsidR="009055FF" w:rsidRPr="00754C47" w14:paraId="27569AEB" w14:textId="77777777" w:rsidTr="00F16D26">
        <w:tc>
          <w:tcPr>
            <w:tcW w:w="495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0B7FD2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Total</w:t>
            </w:r>
          </w:p>
        </w:tc>
        <w:tc>
          <w:tcPr>
            <w:tcW w:w="1842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33841E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50</w:t>
            </w:r>
          </w:p>
        </w:tc>
        <w:tc>
          <w:tcPr>
            <w:tcW w:w="1497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602ACB" w14:textId="77777777" w:rsidR="009055FF" w:rsidRPr="00754C47" w:rsidRDefault="009055FF" w:rsidP="00F16D26">
            <w:pPr>
              <w:rPr>
                <w:sz w:val="20"/>
                <w:szCs w:val="20"/>
              </w:rPr>
            </w:pPr>
            <w:r w:rsidRPr="00754C47">
              <w:rPr>
                <w:sz w:val="20"/>
                <w:szCs w:val="20"/>
              </w:rPr>
              <w:t> </w:t>
            </w:r>
          </w:p>
        </w:tc>
      </w:tr>
    </w:tbl>
    <w:p w14:paraId="4FF2D82D" w14:textId="77777777" w:rsidR="009055FF" w:rsidRPr="009055FF" w:rsidRDefault="009055FF" w:rsidP="009055FF"/>
    <w:p w14:paraId="325C22EB" w14:textId="77777777" w:rsidR="009055FF" w:rsidRPr="009055FF" w:rsidRDefault="009055FF" w:rsidP="009055FF">
      <w:pPr>
        <w:rPr>
          <w:b/>
          <w:bCs/>
        </w:rPr>
      </w:pPr>
      <w:r w:rsidRPr="009055FF">
        <w:rPr>
          <w:b/>
          <w:bCs/>
        </w:rPr>
        <w:t>关键一步</w:t>
      </w:r>
    </w:p>
    <w:p w14:paraId="13B472C8" w14:textId="77777777" w:rsidR="009055FF" w:rsidRPr="009055FF" w:rsidRDefault="009055FF" w:rsidP="009055FF">
      <w:r w:rsidRPr="009055FF">
        <w:t>为每个文库使用具有唯一条形码的不同反向引物，可以在单个</w:t>
      </w:r>
      <w:proofErr w:type="spellStart"/>
      <w:r w:rsidRPr="009055FF">
        <w:t>NextSeq</w:t>
      </w:r>
      <w:proofErr w:type="spellEnd"/>
      <w:r w:rsidRPr="009055FF">
        <w:t>或</w:t>
      </w:r>
      <w:proofErr w:type="spellStart"/>
      <w:r w:rsidRPr="009055FF">
        <w:t>HiSeq</w:t>
      </w:r>
      <w:proofErr w:type="spellEnd"/>
      <w:r w:rsidRPr="009055FF">
        <w:t>运行中汇集和测序不同的文库。这比在多个</w:t>
      </w:r>
      <w:proofErr w:type="spellStart"/>
      <w:r w:rsidRPr="009055FF">
        <w:t>MiSeq</w:t>
      </w:r>
      <w:proofErr w:type="spellEnd"/>
      <w:r w:rsidRPr="009055FF">
        <w:t>运行中运行相同数量的文库更高效且更具成本效益。</w:t>
      </w:r>
    </w:p>
    <w:p w14:paraId="0CA41B3B" w14:textId="77777777" w:rsidR="009055FF" w:rsidRPr="009055FF" w:rsidRDefault="009055FF" w:rsidP="009055FF"/>
    <w:p w14:paraId="0EB55F3C" w14:textId="77777777" w:rsidR="009055FF" w:rsidRPr="009055FF" w:rsidRDefault="009055FF" w:rsidP="009055FF">
      <w:pPr>
        <w:rPr>
          <w:b/>
          <w:bCs/>
        </w:rPr>
      </w:pPr>
      <w:r w:rsidRPr="009055FF">
        <w:rPr>
          <w:b/>
          <w:bCs/>
        </w:rPr>
        <w:t>关键一步</w:t>
      </w:r>
    </w:p>
    <w:p w14:paraId="5F132822" w14:textId="0DABB791" w:rsidR="009055FF" w:rsidRDefault="009055FF" w:rsidP="009055FF">
      <w:r w:rsidRPr="009055FF">
        <w:t>为了最大限度地减少扩增</w:t>
      </w:r>
      <w:r w:rsidRPr="009055FF">
        <w:t>sgRNA</w:t>
      </w:r>
      <w:r w:rsidRPr="009055FF">
        <w:t>的错误，使用高保真聚合酶（如</w:t>
      </w:r>
      <w:proofErr w:type="spellStart"/>
      <w:r w:rsidRPr="009055FF">
        <w:t>NEBNext</w:t>
      </w:r>
      <w:proofErr w:type="spellEnd"/>
      <w:r w:rsidRPr="009055FF">
        <w:t>）非常重要。其他高保真聚合酶，如</w:t>
      </w:r>
      <w:proofErr w:type="spellStart"/>
      <w:r w:rsidRPr="009055FF">
        <w:t>PfuUltra</w:t>
      </w:r>
      <w:proofErr w:type="spellEnd"/>
      <w:r w:rsidRPr="009055FF">
        <w:t xml:space="preserve"> II</w:t>
      </w:r>
      <w:r w:rsidRPr="009055FF">
        <w:t>（安捷伦）或</w:t>
      </w:r>
      <w:r w:rsidRPr="009055FF">
        <w:t>Kapa HiFi</w:t>
      </w:r>
      <w:r w:rsidRPr="009055FF">
        <w:t>（</w:t>
      </w:r>
      <w:r w:rsidRPr="009055FF">
        <w:t>Kapa Biosystems</w:t>
      </w:r>
      <w:r w:rsidRPr="009055FF">
        <w:t>），可用作替代品。</w:t>
      </w:r>
    </w:p>
    <w:p w14:paraId="0FADE81B" w14:textId="77777777" w:rsidR="009055FF" w:rsidRPr="009055FF" w:rsidRDefault="009055FF" w:rsidP="009055FF">
      <w:pPr>
        <w:rPr>
          <w:rFonts w:hint="eastAsia"/>
        </w:rPr>
      </w:pPr>
    </w:p>
    <w:p w14:paraId="7CF7880D" w14:textId="39C19D07" w:rsidR="009055FF" w:rsidRPr="009055FF" w:rsidRDefault="009055FF" w:rsidP="009055FF">
      <w:r w:rsidRPr="009055FF">
        <w:t>33</w:t>
      </w:r>
      <w:r w:rsidRPr="009055FF">
        <w:rPr>
          <w:rFonts w:hint="eastAsia"/>
        </w:rPr>
        <w:t xml:space="preserve"> </w:t>
      </w:r>
      <w:r w:rsidRPr="009055FF">
        <w:t>使用以下循环条件进行</w:t>
      </w:r>
      <w:r w:rsidRPr="009055FF">
        <w:t>PCR</w:t>
      </w:r>
      <w:r w:rsidRPr="009055FF">
        <w:t>：</w:t>
      </w:r>
    </w:p>
    <w:p w14:paraId="3F2B438C" w14:textId="1DAE10A7" w:rsidR="009055FF" w:rsidRPr="009055FF" w:rsidRDefault="009055FF" w:rsidP="009055FF">
      <w:r w:rsidRPr="009055FF">
        <w:rPr>
          <w:b/>
          <w:bCs/>
        </w:rPr>
        <w:t>表</w:t>
      </w:r>
      <w:r w:rsidRPr="009055FF">
        <w:rPr>
          <w:b/>
          <w:bCs/>
        </w:rPr>
        <w:t xml:space="preserve"> 21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2057"/>
        <w:gridCol w:w="1872"/>
        <w:gridCol w:w="2057"/>
      </w:tblGrid>
      <w:tr w:rsidR="009055FF" w:rsidRPr="009055FF" w14:paraId="4FE765C2" w14:textId="77777777" w:rsidTr="00F16D26">
        <w:trPr>
          <w:tblHeader/>
        </w:trPr>
        <w:tc>
          <w:tcPr>
            <w:tcW w:w="1392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CB3031" w14:textId="77777777" w:rsidR="009055FF" w:rsidRPr="009055FF" w:rsidRDefault="009055FF" w:rsidP="009055FF">
            <w:pPr>
              <w:rPr>
                <w:b/>
                <w:bCs/>
              </w:rPr>
            </w:pPr>
            <w:r w:rsidRPr="009055FF">
              <w:rPr>
                <w:b/>
                <w:bCs/>
              </w:rPr>
              <w:lastRenderedPageBreak/>
              <w:t>循环次数</w:t>
            </w:r>
          </w:p>
        </w:tc>
        <w:tc>
          <w:tcPr>
            <w:tcW w:w="1240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04BBF2" w14:textId="77777777" w:rsidR="009055FF" w:rsidRPr="009055FF" w:rsidRDefault="009055FF" w:rsidP="009055FF">
            <w:pPr>
              <w:rPr>
                <w:b/>
                <w:bCs/>
              </w:rPr>
            </w:pPr>
            <w:r w:rsidRPr="009055FF">
              <w:rPr>
                <w:b/>
                <w:bCs/>
              </w:rPr>
              <w:t>变性</w:t>
            </w:r>
          </w:p>
        </w:tc>
        <w:tc>
          <w:tcPr>
            <w:tcW w:w="1128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AAD501" w14:textId="77777777" w:rsidR="009055FF" w:rsidRPr="009055FF" w:rsidRDefault="009055FF" w:rsidP="009055FF">
            <w:pPr>
              <w:rPr>
                <w:b/>
                <w:bCs/>
              </w:rPr>
            </w:pPr>
            <w:r w:rsidRPr="009055FF">
              <w:rPr>
                <w:b/>
                <w:bCs/>
              </w:rPr>
              <w:t>退火</w:t>
            </w:r>
          </w:p>
        </w:tc>
        <w:tc>
          <w:tcPr>
            <w:tcW w:w="1240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BA7A02" w14:textId="77777777" w:rsidR="009055FF" w:rsidRPr="009055FF" w:rsidRDefault="009055FF" w:rsidP="009055FF">
            <w:pPr>
              <w:rPr>
                <w:b/>
                <w:bCs/>
              </w:rPr>
            </w:pPr>
            <w:r w:rsidRPr="009055FF">
              <w:rPr>
                <w:b/>
                <w:bCs/>
              </w:rPr>
              <w:t>延长</w:t>
            </w:r>
          </w:p>
        </w:tc>
      </w:tr>
      <w:tr w:rsidR="009055FF" w:rsidRPr="009055FF" w14:paraId="77084981" w14:textId="77777777" w:rsidTr="00F16D26">
        <w:tc>
          <w:tcPr>
            <w:tcW w:w="1392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37A4CE" w14:textId="77777777" w:rsidR="009055FF" w:rsidRPr="009055FF" w:rsidRDefault="009055FF" w:rsidP="009055FF">
            <w:r w:rsidRPr="009055FF">
              <w:t>1</w:t>
            </w:r>
          </w:p>
        </w:tc>
        <w:tc>
          <w:tcPr>
            <w:tcW w:w="124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BA712B" w14:textId="77777777" w:rsidR="009055FF" w:rsidRPr="009055FF" w:rsidRDefault="009055FF" w:rsidP="009055FF">
            <w:r w:rsidRPr="009055FF">
              <w:t>98℃</w:t>
            </w:r>
            <w:r w:rsidRPr="009055FF">
              <w:t>，</w:t>
            </w:r>
            <w:r w:rsidRPr="009055FF">
              <w:t>3</w:t>
            </w:r>
            <w:r w:rsidRPr="009055FF">
              <w:t>分钟</w:t>
            </w:r>
          </w:p>
        </w:tc>
        <w:tc>
          <w:tcPr>
            <w:tcW w:w="1128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943BB0" w14:textId="69B2915F" w:rsidR="009055FF" w:rsidRPr="009055FF" w:rsidRDefault="009055FF" w:rsidP="009055FF"/>
        </w:tc>
        <w:tc>
          <w:tcPr>
            <w:tcW w:w="124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C2AA33" w14:textId="53B1DE86" w:rsidR="009055FF" w:rsidRPr="009055FF" w:rsidRDefault="009055FF" w:rsidP="009055FF"/>
        </w:tc>
      </w:tr>
      <w:tr w:rsidR="009055FF" w:rsidRPr="009055FF" w14:paraId="47D19E2F" w14:textId="77777777" w:rsidTr="00F16D26">
        <w:tc>
          <w:tcPr>
            <w:tcW w:w="1392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F8D81F" w14:textId="77777777" w:rsidR="009055FF" w:rsidRPr="009055FF" w:rsidRDefault="009055FF" w:rsidP="009055FF">
            <w:r w:rsidRPr="009055FF">
              <w:t>2–23</w:t>
            </w:r>
          </w:p>
        </w:tc>
        <w:tc>
          <w:tcPr>
            <w:tcW w:w="124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C87D349" w14:textId="77777777" w:rsidR="009055FF" w:rsidRPr="009055FF" w:rsidRDefault="009055FF" w:rsidP="009055FF">
            <w:r w:rsidRPr="009055FF">
              <w:t>98℃</w:t>
            </w:r>
            <w:r w:rsidRPr="009055FF">
              <w:t>，</w:t>
            </w:r>
            <w:r w:rsidRPr="009055FF">
              <w:t>10</w:t>
            </w:r>
            <w:r w:rsidRPr="009055FF">
              <w:t>秒</w:t>
            </w:r>
          </w:p>
        </w:tc>
        <w:tc>
          <w:tcPr>
            <w:tcW w:w="1128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C16FF0" w14:textId="77777777" w:rsidR="009055FF" w:rsidRPr="009055FF" w:rsidRDefault="009055FF" w:rsidP="009055FF">
            <w:r w:rsidRPr="009055FF">
              <w:t>63℃</w:t>
            </w:r>
            <w:r w:rsidRPr="009055FF">
              <w:t>，</w:t>
            </w:r>
            <w:r w:rsidRPr="009055FF">
              <w:t>10</w:t>
            </w:r>
            <w:r w:rsidRPr="009055FF">
              <w:t>秒</w:t>
            </w:r>
          </w:p>
        </w:tc>
        <w:tc>
          <w:tcPr>
            <w:tcW w:w="124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4F00A8D" w14:textId="77777777" w:rsidR="009055FF" w:rsidRPr="009055FF" w:rsidRDefault="009055FF" w:rsidP="009055FF">
            <w:r w:rsidRPr="009055FF">
              <w:t>72℃</w:t>
            </w:r>
            <w:r w:rsidRPr="009055FF">
              <w:t>，</w:t>
            </w:r>
            <w:r w:rsidRPr="009055FF">
              <w:t>25</w:t>
            </w:r>
            <w:r w:rsidRPr="009055FF">
              <w:t>秒</w:t>
            </w:r>
          </w:p>
        </w:tc>
      </w:tr>
      <w:tr w:rsidR="009055FF" w:rsidRPr="009055FF" w14:paraId="58A2E849" w14:textId="77777777" w:rsidTr="00F16D26">
        <w:tc>
          <w:tcPr>
            <w:tcW w:w="1392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AE5E8B" w14:textId="77777777" w:rsidR="009055FF" w:rsidRPr="009055FF" w:rsidRDefault="009055FF" w:rsidP="009055FF">
            <w:r w:rsidRPr="009055FF">
              <w:t>24</w:t>
            </w:r>
          </w:p>
        </w:tc>
        <w:tc>
          <w:tcPr>
            <w:tcW w:w="124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6DE2CB" w14:textId="7B5EFAE3" w:rsidR="009055FF" w:rsidRPr="009055FF" w:rsidRDefault="009055FF" w:rsidP="009055FF"/>
        </w:tc>
        <w:tc>
          <w:tcPr>
            <w:tcW w:w="1128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A27FF4" w14:textId="027FC96D" w:rsidR="009055FF" w:rsidRPr="009055FF" w:rsidRDefault="009055FF" w:rsidP="009055FF"/>
        </w:tc>
        <w:tc>
          <w:tcPr>
            <w:tcW w:w="124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13975F" w14:textId="77777777" w:rsidR="009055FF" w:rsidRPr="009055FF" w:rsidRDefault="009055FF" w:rsidP="009055FF">
            <w:r w:rsidRPr="009055FF">
              <w:t>72℃</w:t>
            </w:r>
            <w:r w:rsidRPr="009055FF">
              <w:t>，</w:t>
            </w:r>
            <w:r w:rsidRPr="009055FF">
              <w:t>2</w:t>
            </w:r>
            <w:r w:rsidRPr="009055FF">
              <w:t>分钟</w:t>
            </w:r>
          </w:p>
        </w:tc>
      </w:tr>
    </w:tbl>
    <w:p w14:paraId="7CB60B03" w14:textId="77777777" w:rsidR="009055FF" w:rsidRPr="009055FF" w:rsidRDefault="009055FF" w:rsidP="009055FF"/>
    <w:p w14:paraId="6ED171C4" w14:textId="37587912" w:rsidR="009055FF" w:rsidRPr="009055FF" w:rsidRDefault="009055FF" w:rsidP="009055FF">
      <w:r w:rsidRPr="009055FF">
        <w:t xml:space="preserve">34 </w:t>
      </w:r>
      <w:r w:rsidRPr="009055FF">
        <w:t>反应完成后，汇集</w:t>
      </w:r>
      <w:r w:rsidRPr="009055FF">
        <w:t>PCR</w:t>
      </w:r>
      <w:r w:rsidRPr="009055FF">
        <w:t>反应产物，并根据制造商的说明使用</w:t>
      </w:r>
      <w:proofErr w:type="spellStart"/>
      <w:r w:rsidRPr="009055FF">
        <w:t>QIAquick</w:t>
      </w:r>
      <w:proofErr w:type="spellEnd"/>
      <w:r w:rsidRPr="009055FF">
        <w:t xml:space="preserve"> PCR </w:t>
      </w:r>
      <w:r w:rsidRPr="009055FF">
        <w:t>纯化试剂盒纯化</w:t>
      </w:r>
      <w:r w:rsidRPr="009055FF">
        <w:t>PCR</w:t>
      </w:r>
      <w:r w:rsidRPr="009055FF">
        <w:t>产物。</w:t>
      </w:r>
    </w:p>
    <w:p w14:paraId="740659D2" w14:textId="77777777" w:rsidR="009055FF" w:rsidRPr="009055FF" w:rsidRDefault="009055FF" w:rsidP="009055FF"/>
    <w:p w14:paraId="32B0C39A" w14:textId="59EA5A9A" w:rsidR="009055FF" w:rsidRPr="009055FF" w:rsidRDefault="009055FF" w:rsidP="009055FF">
      <w:r w:rsidRPr="009055FF">
        <w:t xml:space="preserve">35 </w:t>
      </w:r>
      <w:r w:rsidRPr="009055FF">
        <w:t>定量纯化的</w:t>
      </w:r>
      <w:r w:rsidRPr="009055FF">
        <w:t>PCR</w:t>
      </w:r>
      <w:r w:rsidRPr="009055FF">
        <w:t>产物，并在</w:t>
      </w:r>
      <w:r w:rsidRPr="009055FF">
        <w:t xml:space="preserve">2% ( </w:t>
      </w:r>
      <w:proofErr w:type="spellStart"/>
      <w:r w:rsidRPr="009055FF">
        <w:t>wt</w:t>
      </w:r>
      <w:proofErr w:type="spellEnd"/>
      <w:r w:rsidRPr="009055FF">
        <w:t xml:space="preserve"> /vol)</w:t>
      </w:r>
      <w:r w:rsidRPr="009055FF">
        <w:t>琼脂糖凝胶上电泳</w:t>
      </w:r>
      <w:r w:rsidRPr="009055FF">
        <w:t xml:space="preserve">2 </w:t>
      </w:r>
      <w:proofErr w:type="spellStart"/>
      <w:r w:rsidRPr="009055FF">
        <w:t>μg</w:t>
      </w:r>
      <w:proofErr w:type="spellEnd"/>
      <w:r w:rsidRPr="009055FF">
        <w:t>产物。成功的反应应产生约</w:t>
      </w:r>
      <w:r w:rsidRPr="009055FF">
        <w:t>260</w:t>
      </w:r>
      <w:r w:rsidRPr="009055FF">
        <w:t>至</w:t>
      </w:r>
      <w:r w:rsidRPr="009055FF">
        <w:t>270 bp</w:t>
      </w:r>
      <w:r w:rsidRPr="009055FF">
        <w:t>的产物用于敲除文库，约</w:t>
      </w:r>
      <w:r w:rsidRPr="009055FF">
        <w:t>270</w:t>
      </w:r>
      <w:r w:rsidRPr="009055FF">
        <w:t>至</w:t>
      </w:r>
      <w:r w:rsidRPr="009055FF">
        <w:t>280 bp</w:t>
      </w:r>
      <w:r w:rsidRPr="009055FF">
        <w:t>的产物用于激活文库。根据制造商的说明，使用</w:t>
      </w:r>
      <w:proofErr w:type="spellStart"/>
      <w:r w:rsidRPr="009055FF">
        <w:t>QIAquick</w:t>
      </w:r>
      <w:proofErr w:type="spellEnd"/>
      <w:r w:rsidRPr="009055FF">
        <w:t>凝胶提取试剂盒进行凝胶提取。</w:t>
      </w:r>
    </w:p>
    <w:p w14:paraId="424CBD97" w14:textId="77777777" w:rsidR="009055FF" w:rsidRPr="009055FF" w:rsidRDefault="009055FF" w:rsidP="009055FF"/>
    <w:p w14:paraId="1512311C" w14:textId="77777777" w:rsidR="009055FF" w:rsidRPr="009055FF" w:rsidRDefault="009055FF" w:rsidP="009055FF">
      <w:pPr>
        <w:rPr>
          <w:b/>
          <w:bCs/>
        </w:rPr>
      </w:pPr>
      <w:r w:rsidRPr="009055FF">
        <w:rPr>
          <w:b/>
          <w:bCs/>
        </w:rPr>
        <w:t>暂停点</w:t>
      </w:r>
    </w:p>
    <w:p w14:paraId="75F2BE2F" w14:textId="77777777" w:rsidR="009055FF" w:rsidRPr="009055FF" w:rsidRDefault="009055FF" w:rsidP="009055FF">
      <w:r w:rsidRPr="009055FF">
        <w:t>凝胶提取的样品可以在</w:t>
      </w:r>
      <w:r w:rsidRPr="009055FF">
        <w:t xml:space="preserve">−20°C </w:t>
      </w:r>
      <w:r w:rsidRPr="009055FF">
        <w:t>下保存数月。</w:t>
      </w:r>
    </w:p>
    <w:p w14:paraId="7C77080F" w14:textId="77777777" w:rsidR="009055FF" w:rsidRPr="009055FF" w:rsidRDefault="009055FF" w:rsidP="009055FF"/>
    <w:p w14:paraId="7D7D125E" w14:textId="717ACBAF" w:rsidR="009055FF" w:rsidRPr="009055FF" w:rsidRDefault="009055FF" w:rsidP="009055FF">
      <w:r w:rsidRPr="009055FF">
        <w:t xml:space="preserve">36 </w:t>
      </w:r>
      <w:r w:rsidRPr="009055FF">
        <w:t>根据制造商的说明，使用</w:t>
      </w:r>
      <w:r w:rsidRPr="009055FF">
        <w:t>Qubit dsDNA HS</w:t>
      </w:r>
      <w:r w:rsidRPr="009055FF">
        <w:t>检测试剂盒对凝胶提取样品进行定量分析。</w:t>
      </w:r>
    </w:p>
    <w:p w14:paraId="4236A825" w14:textId="77777777" w:rsidR="009055FF" w:rsidRPr="009055FF" w:rsidRDefault="009055FF" w:rsidP="009055FF"/>
    <w:p w14:paraId="45DD60FE" w14:textId="426F33FA" w:rsidR="009055FF" w:rsidRPr="009055FF" w:rsidRDefault="009055FF" w:rsidP="009055FF">
      <w:r w:rsidRPr="009055FF">
        <w:t>根据</w:t>
      </w:r>
      <w:r w:rsidRPr="009055FF">
        <w:t>Illumina</w:t>
      </w:r>
      <w:r w:rsidRPr="009055FF">
        <w:t>用户手册在</w:t>
      </w:r>
      <w:r w:rsidRPr="009055FF">
        <w:t xml:space="preserve">Illumina </w:t>
      </w:r>
      <w:proofErr w:type="spellStart"/>
      <w:r w:rsidRPr="009055FF">
        <w:t>MiSeq</w:t>
      </w:r>
      <w:proofErr w:type="spellEnd"/>
      <w:r w:rsidRPr="009055FF">
        <w:t>或</w:t>
      </w:r>
      <w:proofErr w:type="spellStart"/>
      <w:r w:rsidRPr="009055FF">
        <w:t>NextSeq</w:t>
      </w:r>
      <w:proofErr w:type="spellEnd"/>
      <w:r w:rsidRPr="009055FF">
        <w:t>上对样本进行测序，读取</w:t>
      </w:r>
      <w:r w:rsidRPr="009055FF">
        <w:t>1</w:t>
      </w:r>
      <w:r w:rsidRPr="009055FF">
        <w:t>（正向）循环</w:t>
      </w:r>
      <w:r w:rsidRPr="009055FF">
        <w:t>80</w:t>
      </w:r>
      <w:r w:rsidRPr="009055FF">
        <w:t>次，索引</w:t>
      </w:r>
      <w:r w:rsidRPr="009055FF">
        <w:t>1</w:t>
      </w:r>
      <w:r w:rsidRPr="009055FF">
        <w:t>循环</w:t>
      </w:r>
      <w:r w:rsidRPr="009055FF">
        <w:t>8</w:t>
      </w:r>
      <w:r w:rsidRPr="009055FF">
        <w:t>次。我们建议在</w:t>
      </w:r>
      <w:proofErr w:type="spellStart"/>
      <w:r w:rsidRPr="009055FF">
        <w:t>MiSeq</w:t>
      </w:r>
      <w:proofErr w:type="spellEnd"/>
      <w:r w:rsidRPr="009055FF">
        <w:t>上使用</w:t>
      </w:r>
      <w:r w:rsidRPr="009055FF">
        <w:t xml:space="preserve">5% </w:t>
      </w:r>
      <w:proofErr w:type="spellStart"/>
      <w:r w:rsidRPr="009055FF">
        <w:t>PhiX</w:t>
      </w:r>
      <w:proofErr w:type="spellEnd"/>
      <w:r w:rsidRPr="009055FF">
        <w:t>对照或在</w:t>
      </w:r>
      <w:proofErr w:type="spellStart"/>
      <w:r w:rsidRPr="009055FF">
        <w:t>NextSeq</w:t>
      </w:r>
      <w:proofErr w:type="spellEnd"/>
      <w:r w:rsidRPr="009055FF">
        <w:t>上使用</w:t>
      </w:r>
      <w:r w:rsidRPr="009055FF">
        <w:t xml:space="preserve">20% </w:t>
      </w:r>
      <w:proofErr w:type="spellStart"/>
      <w:r w:rsidRPr="009055FF">
        <w:t>PhiX</w:t>
      </w:r>
      <w:proofErr w:type="spellEnd"/>
      <w:r w:rsidRPr="009055FF">
        <w:t>对照进行测序，以提高文库多样性；我们建议以文库中每个</w:t>
      </w:r>
      <w:r w:rsidRPr="009055FF">
        <w:t>sgRNA</w:t>
      </w:r>
      <w:r w:rsidRPr="009055FF">
        <w:t>的覆盖率</w:t>
      </w:r>
      <w:r w:rsidRPr="009055FF">
        <w:t>&gt;100</w:t>
      </w:r>
      <w:r w:rsidRPr="009055FF">
        <w:t>次读取为目标。</w:t>
      </w:r>
    </w:p>
    <w:p w14:paraId="58DECA09" w14:textId="77777777" w:rsidR="009055FF" w:rsidRPr="009055FF" w:rsidRDefault="009055FF" w:rsidP="009055FF"/>
    <w:p w14:paraId="75F9AC55" w14:textId="058321E9" w:rsidR="009055FF" w:rsidRPr="009055FF" w:rsidRDefault="009055FF" w:rsidP="009055FF">
      <w:r w:rsidRPr="009055FF">
        <w:t>38</w:t>
      </w:r>
      <w:r w:rsidRPr="009055FF">
        <w:t>使用</w:t>
      </w:r>
      <w:r w:rsidRPr="009055FF">
        <w:t>count_spacers.py</w:t>
      </w:r>
      <w:r w:rsidRPr="009055FF">
        <w:t>分析测序数据。我们提供了一个</w:t>
      </w:r>
      <w:r w:rsidRPr="009055FF">
        <w:t>Python</w:t>
      </w:r>
      <w:r w:rsidRPr="009055FF">
        <w:t>脚本，用于分析</w:t>
      </w:r>
      <w:r w:rsidRPr="009055FF">
        <w:t>sgRNA</w:t>
      </w:r>
      <w:r w:rsidRPr="009055FF">
        <w:t>表示的</w:t>
      </w:r>
      <w:r w:rsidRPr="009055FF">
        <w:t>NGS</w:t>
      </w:r>
      <w:r w:rsidRPr="009055FF">
        <w:t>结果。安装</w:t>
      </w:r>
      <w:r w:rsidRPr="009055FF">
        <w:t xml:space="preserve"> Python 2.7</w:t>
      </w:r>
      <w:r w:rsidRPr="009055FF">
        <w:t>和</w:t>
      </w:r>
      <w:proofErr w:type="spellStart"/>
      <w:r w:rsidRPr="009055FF">
        <w:t>biopython</w:t>
      </w:r>
      <w:proofErr w:type="spellEnd"/>
      <w:r w:rsidRPr="009055FF">
        <w:t xml:space="preserve"> </w:t>
      </w:r>
      <w:r w:rsidRPr="009055FF">
        <w:t>。准备一个包含引导间隔序列的</w:t>
      </w:r>
      <w:r w:rsidRPr="009055FF">
        <w:t>.csv</w:t>
      </w:r>
      <w:r w:rsidRPr="009055FF">
        <w:t>文件，每行对应一个序列。</w:t>
      </w:r>
    </w:p>
    <w:p w14:paraId="06553CC2" w14:textId="77777777" w:rsidR="009055FF" w:rsidRPr="009055FF" w:rsidRDefault="009055FF" w:rsidP="009055FF"/>
    <w:p w14:paraId="55082401" w14:textId="12B8A816" w:rsidR="009055FF" w:rsidRPr="009055FF" w:rsidRDefault="009055FF" w:rsidP="009055FF">
      <w:pPr>
        <w:rPr>
          <w:rFonts w:hint="eastAsia"/>
        </w:rPr>
      </w:pPr>
      <w:r w:rsidRPr="009055FF">
        <w:t xml:space="preserve">39 </w:t>
      </w:r>
      <w:r w:rsidRPr="009055FF">
        <w:t>要确定间隔物分布，请使用以下可选参数运行</w:t>
      </w:r>
      <w:r w:rsidRPr="009055FF">
        <w:t xml:space="preserve"> python count_spacers.py</w:t>
      </w:r>
      <w:r w:rsidRPr="009055FF">
        <w:t>：</w:t>
      </w:r>
    </w:p>
    <w:p w14:paraId="1C9A85C3" w14:textId="77777777" w:rsidR="009055FF" w:rsidRDefault="009055FF" w:rsidP="009055FF">
      <w:pPr>
        <w:rPr>
          <w:b/>
          <w:bCs/>
        </w:rPr>
      </w:pPr>
    </w:p>
    <w:p w14:paraId="345A1AF2" w14:textId="1B0B53CC" w:rsidR="009055FF" w:rsidRPr="009055FF" w:rsidRDefault="009055FF" w:rsidP="009055FF">
      <w:pPr>
        <w:rPr>
          <w:b/>
          <w:bCs/>
        </w:rPr>
      </w:pPr>
      <w:r w:rsidRPr="009055FF">
        <w:rPr>
          <w:b/>
          <w:bCs/>
        </w:rPr>
        <w:t>表</w:t>
      </w:r>
      <w:r w:rsidRPr="009055FF">
        <w:rPr>
          <w:b/>
          <w:bCs/>
        </w:rPr>
        <w:t xml:space="preserve"> 22</w:t>
      </w:r>
    </w:p>
    <w:p w14:paraId="548841A6" w14:textId="6F0A5CB5" w:rsidR="009055FF" w:rsidRDefault="009055FF" w:rsidP="009055F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5369"/>
        <w:gridCol w:w="2293"/>
      </w:tblGrid>
      <w:tr w:rsidR="009055FF" w:rsidRPr="00D55479" w14:paraId="041570AB" w14:textId="77777777" w:rsidTr="00F16D26">
        <w:trPr>
          <w:tblHeader/>
        </w:trPr>
        <w:tc>
          <w:tcPr>
            <w:tcW w:w="280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215A42" w14:textId="77777777" w:rsidR="009055FF" w:rsidRPr="00D55479" w:rsidRDefault="009055FF" w:rsidP="00F16D26">
            <w:pPr>
              <w:rPr>
                <w:b/>
                <w:bCs/>
              </w:rPr>
            </w:pPr>
            <w:r w:rsidRPr="00D55479">
              <w:rPr>
                <w:b/>
                <w:bCs/>
              </w:rPr>
              <w:t>Flag</w:t>
            </w:r>
          </w:p>
        </w:tc>
        <w:tc>
          <w:tcPr>
            <w:tcW w:w="3905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905E35" w14:textId="77777777" w:rsidR="009055FF" w:rsidRPr="00D55479" w:rsidRDefault="009055FF" w:rsidP="00F16D26">
            <w:pPr>
              <w:rPr>
                <w:b/>
                <w:bCs/>
              </w:rPr>
            </w:pPr>
            <w:r w:rsidRPr="00D55479">
              <w:rPr>
                <w:b/>
                <w:bCs/>
              </w:rPr>
              <w:t>Description</w:t>
            </w:r>
          </w:p>
        </w:tc>
        <w:tc>
          <w:tcPr>
            <w:tcW w:w="815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7AF4FE" w14:textId="77777777" w:rsidR="009055FF" w:rsidRPr="00D55479" w:rsidRDefault="009055FF" w:rsidP="00F16D26">
            <w:pPr>
              <w:rPr>
                <w:b/>
                <w:bCs/>
              </w:rPr>
            </w:pPr>
            <w:r w:rsidRPr="00D55479">
              <w:rPr>
                <w:b/>
                <w:bCs/>
              </w:rPr>
              <w:t>Default</w:t>
            </w:r>
          </w:p>
        </w:tc>
      </w:tr>
      <w:tr w:rsidR="009055FF" w:rsidRPr="00D55479" w14:paraId="7F505F5B" w14:textId="77777777" w:rsidTr="00F16D26">
        <w:tc>
          <w:tcPr>
            <w:tcW w:w="28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901308" w14:textId="77777777" w:rsidR="009055FF" w:rsidRPr="00D55479" w:rsidRDefault="009055FF" w:rsidP="00F16D26">
            <w:r w:rsidRPr="00D55479">
              <w:t>'-f'</w:t>
            </w:r>
          </w:p>
        </w:tc>
        <w:tc>
          <w:tcPr>
            <w:tcW w:w="390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36FB9D" w14:textId="77777777" w:rsidR="009055FF" w:rsidRPr="00D55479" w:rsidRDefault="009055FF" w:rsidP="00F16D26">
            <w:r w:rsidRPr="00D55479">
              <w:t>.</w:t>
            </w:r>
            <w:proofErr w:type="spellStart"/>
            <w:r w:rsidRPr="00D55479">
              <w:t>fastq</w:t>
            </w:r>
            <w:proofErr w:type="spellEnd"/>
            <w:r w:rsidRPr="00D55479">
              <w:t xml:space="preserve"> file containing NGS data for analysis</w:t>
            </w:r>
          </w:p>
        </w:tc>
        <w:tc>
          <w:tcPr>
            <w:tcW w:w="81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F5F8A7B" w14:textId="77777777" w:rsidR="009055FF" w:rsidRPr="00D55479" w:rsidRDefault="009055FF" w:rsidP="00F16D26">
            <w:proofErr w:type="spellStart"/>
            <w:r w:rsidRPr="00D55479">
              <w:t>NGS.fastq</w:t>
            </w:r>
            <w:proofErr w:type="spellEnd"/>
          </w:p>
        </w:tc>
      </w:tr>
      <w:tr w:rsidR="009055FF" w:rsidRPr="00D55479" w14:paraId="22404002" w14:textId="77777777" w:rsidTr="00F16D26">
        <w:tc>
          <w:tcPr>
            <w:tcW w:w="28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671B9F" w14:textId="77777777" w:rsidR="009055FF" w:rsidRPr="00D55479" w:rsidRDefault="009055FF" w:rsidP="00F16D26">
            <w:r w:rsidRPr="00D55479">
              <w:t>'-o'</w:t>
            </w:r>
          </w:p>
        </w:tc>
        <w:tc>
          <w:tcPr>
            <w:tcW w:w="390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9B7C74" w14:textId="77777777" w:rsidR="009055FF" w:rsidRPr="00D55479" w:rsidRDefault="009055FF" w:rsidP="00F16D26">
            <w:r w:rsidRPr="00D55479">
              <w:t>Output .csv file with guide spacer sequences in the first column and respective read counts in the second column</w:t>
            </w:r>
          </w:p>
        </w:tc>
        <w:tc>
          <w:tcPr>
            <w:tcW w:w="81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0231E0" w14:textId="77777777" w:rsidR="009055FF" w:rsidRPr="00D55479" w:rsidRDefault="009055FF" w:rsidP="00F16D26">
            <w:r w:rsidRPr="00D55479">
              <w:t>library_count.csv</w:t>
            </w:r>
          </w:p>
        </w:tc>
      </w:tr>
      <w:tr w:rsidR="009055FF" w:rsidRPr="00D55479" w14:paraId="6917D2F9" w14:textId="77777777" w:rsidTr="00F16D26">
        <w:tc>
          <w:tcPr>
            <w:tcW w:w="28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E45A35" w14:textId="77777777" w:rsidR="009055FF" w:rsidRPr="00D55479" w:rsidRDefault="009055FF" w:rsidP="00F16D26">
            <w:r w:rsidRPr="00D55479">
              <w:t>'-</w:t>
            </w:r>
            <w:proofErr w:type="spellStart"/>
            <w:r w:rsidRPr="00D55479">
              <w:t>i</w:t>
            </w:r>
            <w:proofErr w:type="spellEnd"/>
            <w:r w:rsidRPr="00D55479">
              <w:t>'′</w:t>
            </w:r>
          </w:p>
        </w:tc>
        <w:tc>
          <w:tcPr>
            <w:tcW w:w="390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654FAF" w14:textId="77777777" w:rsidR="009055FF" w:rsidRPr="00D55479" w:rsidRDefault="009055FF" w:rsidP="00F16D26">
            <w:r w:rsidRPr="00D55479">
              <w:t>Input .csv file with guide spacer sequences</w:t>
            </w:r>
          </w:p>
        </w:tc>
        <w:tc>
          <w:tcPr>
            <w:tcW w:w="81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AEE1C2" w14:textId="77777777" w:rsidR="009055FF" w:rsidRPr="00D55479" w:rsidRDefault="009055FF" w:rsidP="00F16D26">
            <w:r w:rsidRPr="00D55479">
              <w:t>library_sequences.csv</w:t>
            </w:r>
          </w:p>
        </w:tc>
      </w:tr>
      <w:tr w:rsidR="009055FF" w:rsidRPr="00D55479" w14:paraId="45053231" w14:textId="77777777" w:rsidTr="00F16D26">
        <w:tc>
          <w:tcPr>
            <w:tcW w:w="28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059244" w14:textId="77777777" w:rsidR="009055FF" w:rsidRPr="00D55479" w:rsidRDefault="009055FF" w:rsidP="00F16D26">
            <w:r w:rsidRPr="00D55479">
              <w:t>'-no-g'</w:t>
            </w:r>
          </w:p>
        </w:tc>
        <w:tc>
          <w:tcPr>
            <w:tcW w:w="390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C9258D" w14:textId="77777777" w:rsidR="009055FF" w:rsidRPr="00D55479" w:rsidRDefault="009055FF" w:rsidP="00F16D26">
            <w:r w:rsidRPr="00D55479">
              <w:t>Indicates the absence of a guanine before the guide spacer sequence</w:t>
            </w:r>
          </w:p>
        </w:tc>
        <w:tc>
          <w:tcPr>
            <w:tcW w:w="815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B26CCF" w14:textId="77777777" w:rsidR="009055FF" w:rsidRPr="00D55479" w:rsidRDefault="009055FF" w:rsidP="00F16D26">
            <w:r w:rsidRPr="00D55479">
              <w:t>Guanine is present</w:t>
            </w:r>
          </w:p>
        </w:tc>
      </w:tr>
    </w:tbl>
    <w:p w14:paraId="0A4B6F20" w14:textId="530FC7C5" w:rsidR="009055FF" w:rsidRPr="009055FF" w:rsidRDefault="009055FF" w:rsidP="009055FF">
      <w:r w:rsidRPr="009055FF">
        <w:lastRenderedPageBreak/>
        <w:t>运行</w:t>
      </w:r>
      <w:r w:rsidRPr="009055FF">
        <w:t xml:space="preserve"> count_spacers.py </w:t>
      </w:r>
      <w:r w:rsidRPr="009055FF">
        <w:t>后，间隔读取计数将写入输出</w:t>
      </w:r>
      <w:r w:rsidRPr="009055FF">
        <w:t>.csv</w:t>
      </w:r>
      <w:r w:rsidRPr="009055FF">
        <w:t>文件。相关统计数据（包括完美匹配的指导序列数量、不完美匹配的指导序列数量、没有密钥的测序读取数量、处理的读取数量、完美匹配的指导序列百分比、未检测到的指导序列百分比和倾斜率）将写入</w:t>
      </w:r>
      <w:r w:rsidRPr="009055FF">
        <w:t xml:space="preserve"> statistics.txt</w:t>
      </w:r>
      <w:r w:rsidRPr="009055FF">
        <w:t>。理想的</w:t>
      </w:r>
      <w:r w:rsidRPr="009055FF">
        <w:t>sgRNA</w:t>
      </w:r>
      <w:r w:rsidRPr="009055FF">
        <w:t>文库应具有</w:t>
      </w:r>
      <w:r w:rsidRPr="009055FF">
        <w:t>&gt;70%</w:t>
      </w:r>
      <w:r w:rsidRPr="009055FF">
        <w:t>完美匹配的指导序列、</w:t>
      </w:r>
      <w:r w:rsidRPr="009055FF">
        <w:t>&lt;0.5%</w:t>
      </w:r>
      <w:r w:rsidRPr="009055FF">
        <w:t>未检测到的指导序列和小于</w:t>
      </w:r>
      <w:r w:rsidRPr="009055FF">
        <w:t>10</w:t>
      </w:r>
      <w:r w:rsidRPr="009055FF">
        <w:t>的倾斜率。</w:t>
      </w:r>
    </w:p>
    <w:p w14:paraId="0AF2CEBC" w14:textId="77777777" w:rsidR="009055FF" w:rsidRPr="009055FF" w:rsidRDefault="009055FF" w:rsidP="009055FF"/>
    <w:p w14:paraId="1FF1A6F0" w14:textId="77777777" w:rsidR="009055FF" w:rsidRPr="009055FF" w:rsidRDefault="009055FF" w:rsidP="009055FF">
      <w:pPr>
        <w:rPr>
          <w:b/>
          <w:bCs/>
        </w:rPr>
      </w:pPr>
      <w:r w:rsidRPr="009055FF">
        <w:rPr>
          <w:b/>
          <w:bCs/>
        </w:rPr>
        <w:t>关键一步</w:t>
      </w:r>
    </w:p>
    <w:p w14:paraId="30675A29" w14:textId="38599AF8" w:rsidR="00DC77E5" w:rsidRPr="009055FF" w:rsidRDefault="009055FF">
      <w:pPr>
        <w:rPr>
          <w:rFonts w:hint="eastAsia"/>
        </w:rPr>
      </w:pPr>
      <w:r w:rsidRPr="009055FF">
        <w:t>人类</w:t>
      </w:r>
      <w:r w:rsidRPr="009055FF">
        <w:t>SAM</w:t>
      </w:r>
      <w:r w:rsidRPr="009055FF">
        <w:t>文库在引导间隔序列前没有鸟嘌呤，因此在分析这些文库时请确保使用参数</w:t>
      </w:r>
      <w:r w:rsidRPr="009055FF">
        <w:t>-no-g</w:t>
      </w:r>
      <w:r w:rsidRPr="009055FF">
        <w:t>运行脚本。</w:t>
      </w:r>
    </w:p>
    <w:sectPr w:rsidR="00DC77E5" w:rsidRPr="0090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FF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55F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93D0C"/>
  <w15:chartTrackingRefBased/>
  <w15:docId w15:val="{18C91161-7FA2-E044-A51B-BF784A36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5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5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2024-06-09T09:22:00Z</dcterms:created>
  <dcterms:modified xsi:type="dcterms:W3CDTF">2024-06-09T09:27:00Z</dcterms:modified>
</cp:coreProperties>
</file>