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5DEF" w14:textId="77777777" w:rsidR="00853FF7" w:rsidRPr="00853FF7" w:rsidRDefault="00853FF7" w:rsidP="00853FF7">
      <w:pPr>
        <w:widowControl/>
        <w:spacing w:after="111" w:line="320" w:lineRule="atLeast"/>
        <w:jc w:val="left"/>
        <w:outlineLvl w:val="0"/>
        <w:rPr>
          <w:color w:val="212529"/>
          <w:kern w:val="36"/>
          <w:sz w:val="48"/>
          <w:szCs w:val="48"/>
        </w:rPr>
      </w:pPr>
      <w:r w:rsidRPr="00853FF7">
        <w:rPr>
          <w:color w:val="212529"/>
          <w:kern w:val="36"/>
          <w:sz w:val="48"/>
          <w:szCs w:val="48"/>
        </w:rPr>
        <w:t>Optimizing Restriction Endonuclease Reactions</w:t>
      </w:r>
    </w:p>
    <w:p w14:paraId="063A664B" w14:textId="77777777" w:rsidR="00853FF7" w:rsidRPr="00853FF7" w:rsidRDefault="00853FF7" w:rsidP="00853FF7">
      <w:pPr>
        <w:widowControl/>
        <w:spacing w:before="100" w:beforeAutospacing="1" w:after="100" w:afterAutospacing="1"/>
        <w:jc w:val="left"/>
        <w:rPr>
          <w:rFonts w:ascii="Arial" w:hAnsi="Arial" w:cs="Arial"/>
          <w:color w:val="212529"/>
          <w:kern w:val="0"/>
          <w:sz w:val="20"/>
          <w:szCs w:val="20"/>
        </w:rPr>
      </w:pPr>
      <w:r w:rsidRPr="00853FF7">
        <w:rPr>
          <w:rFonts w:ascii="Arial" w:hAnsi="Arial" w:cs="Arial"/>
          <w:color w:val="212529"/>
          <w:kern w:val="0"/>
          <w:sz w:val="20"/>
          <w:szCs w:val="20"/>
        </w:rPr>
        <w:t xml:space="preserve">There are several key factors to consider when setting up a restriction endonuclease digest. Using the proper amounts of DNA, enzyme and buffer components in the correct reaction volume will allow you to achieve optimal digestion. By definition, 1 unit of restriction enzyme will completely digest 1 </w:t>
      </w:r>
      <w:proofErr w:type="spellStart"/>
      <w:r w:rsidRPr="00853FF7">
        <w:rPr>
          <w:rFonts w:ascii="Arial" w:hAnsi="Arial" w:cs="Arial"/>
          <w:color w:val="212529"/>
          <w:kern w:val="0"/>
          <w:sz w:val="20"/>
          <w:szCs w:val="20"/>
        </w:rPr>
        <w:t>μg</w:t>
      </w:r>
      <w:proofErr w:type="spellEnd"/>
      <w:r w:rsidRPr="00853FF7">
        <w:rPr>
          <w:rFonts w:ascii="Arial" w:hAnsi="Arial" w:cs="Arial"/>
          <w:color w:val="212529"/>
          <w:kern w:val="0"/>
          <w:sz w:val="20"/>
          <w:szCs w:val="20"/>
        </w:rPr>
        <w:t xml:space="preserve"> of substrate DNA in a 50 </w:t>
      </w:r>
      <w:proofErr w:type="spellStart"/>
      <w:r w:rsidRPr="00853FF7">
        <w:rPr>
          <w:rFonts w:ascii="Arial" w:hAnsi="Arial" w:cs="Arial"/>
          <w:color w:val="212529"/>
          <w:kern w:val="0"/>
          <w:sz w:val="20"/>
          <w:szCs w:val="20"/>
        </w:rPr>
        <w:t>μl</w:t>
      </w:r>
      <w:proofErr w:type="spellEnd"/>
      <w:r w:rsidRPr="00853FF7">
        <w:rPr>
          <w:rFonts w:ascii="Arial" w:hAnsi="Arial" w:cs="Arial"/>
          <w:color w:val="212529"/>
          <w:kern w:val="0"/>
          <w:sz w:val="20"/>
          <w:szCs w:val="20"/>
        </w:rPr>
        <w:t xml:space="preserve"> reaction in 60 minutes. This enzyme : DNA : reaction volume ratio can be used as a guide when designing reactions. However, most researchers follow the "typical" reaction conditions listed, where a 5–</w:t>
      </w:r>
      <w:proofErr w:type="gramStart"/>
      <w:r w:rsidRPr="00853FF7">
        <w:rPr>
          <w:rFonts w:ascii="Arial" w:hAnsi="Arial" w:cs="Arial"/>
          <w:color w:val="212529"/>
          <w:kern w:val="0"/>
          <w:sz w:val="20"/>
          <w:szCs w:val="20"/>
        </w:rPr>
        <w:t>10 fold</w:t>
      </w:r>
      <w:proofErr w:type="gramEnd"/>
      <w:r w:rsidRPr="00853FF7">
        <w:rPr>
          <w:rFonts w:ascii="Arial" w:hAnsi="Arial" w:cs="Arial"/>
          <w:color w:val="212529"/>
          <w:kern w:val="0"/>
          <w:sz w:val="20"/>
          <w:szCs w:val="20"/>
        </w:rPr>
        <w:t xml:space="preserve"> </w:t>
      </w:r>
      <w:proofErr w:type="spellStart"/>
      <w:r w:rsidRPr="00853FF7">
        <w:rPr>
          <w:rFonts w:ascii="Arial" w:hAnsi="Arial" w:cs="Arial"/>
          <w:color w:val="212529"/>
          <w:kern w:val="0"/>
          <w:sz w:val="20"/>
          <w:szCs w:val="20"/>
        </w:rPr>
        <w:t>overdigestion</w:t>
      </w:r>
      <w:proofErr w:type="spellEnd"/>
      <w:r w:rsidRPr="00853FF7">
        <w:rPr>
          <w:rFonts w:ascii="Arial" w:hAnsi="Arial" w:cs="Arial"/>
          <w:color w:val="212529"/>
          <w:kern w:val="0"/>
          <w:sz w:val="20"/>
          <w:szCs w:val="20"/>
        </w:rPr>
        <w:t xml:space="preserve"> is recommended to overcome variability in DNA source, quantity and purity. NEB offers the following tips to help you to achieve maximal success in your restriction endonuclease reactions.</w:t>
      </w:r>
    </w:p>
    <w:p w14:paraId="09730133" w14:textId="7A2EFC70" w:rsidR="00853FF7" w:rsidRDefault="00853FF7" w:rsidP="00853FF7">
      <w:pPr>
        <w:widowControl/>
        <w:spacing w:line="320" w:lineRule="atLeast"/>
        <w:jc w:val="left"/>
        <w:outlineLvl w:val="2"/>
        <w:rPr>
          <w:color w:val="212529"/>
          <w:kern w:val="0"/>
          <w:sz w:val="27"/>
          <w:szCs w:val="27"/>
        </w:rPr>
      </w:pPr>
      <w:r w:rsidRPr="00853FF7">
        <w:rPr>
          <w:color w:val="212529"/>
          <w:kern w:val="0"/>
          <w:sz w:val="27"/>
          <w:szCs w:val="27"/>
        </w:rPr>
        <w:t>A "Typical" Restriction Digest</w:t>
      </w:r>
    </w:p>
    <w:p w14:paraId="7797532A" w14:textId="77777777" w:rsidR="007F7B06" w:rsidRDefault="007F7B06" w:rsidP="00853FF7">
      <w:pPr>
        <w:widowControl/>
        <w:spacing w:line="320" w:lineRule="atLeast"/>
        <w:jc w:val="left"/>
        <w:outlineLvl w:val="2"/>
        <w:rPr>
          <w:color w:val="212529"/>
          <w:kern w:val="0"/>
          <w:sz w:val="27"/>
          <w:szCs w:val="27"/>
        </w:rPr>
      </w:pPr>
    </w:p>
    <w:tbl>
      <w:tblPr>
        <w:tblW w:w="4955" w:type="pct"/>
        <w:tblLook w:val="04A0" w:firstRow="1" w:lastRow="0" w:firstColumn="1" w:lastColumn="0" w:noHBand="0" w:noVBand="1"/>
      </w:tblPr>
      <w:tblGrid>
        <w:gridCol w:w="3816"/>
        <w:gridCol w:w="6536"/>
      </w:tblGrid>
      <w:tr w:rsidR="00853FF7" w:rsidRPr="00853FF7" w14:paraId="20BA154B" w14:textId="77777777" w:rsidTr="00853FF7">
        <w:trPr>
          <w:trHeight w:val="72"/>
        </w:trPr>
        <w:tc>
          <w:tcPr>
            <w:tcW w:w="1843" w:type="pct"/>
            <w:tcBorders>
              <w:top w:val="single" w:sz="8" w:space="0" w:color="B3B3B3"/>
              <w:left w:val="single" w:sz="8" w:space="0" w:color="B3B3B3"/>
              <w:bottom w:val="single" w:sz="8" w:space="0" w:color="B3B3B3"/>
              <w:right w:val="single" w:sz="8" w:space="0" w:color="B3B3B3"/>
            </w:tcBorders>
            <w:shd w:val="clear" w:color="auto" w:fill="auto"/>
            <w:vAlign w:val="center"/>
            <w:hideMark/>
          </w:tcPr>
          <w:p w14:paraId="133AF7C3"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Restriction Enzyme</w:t>
            </w:r>
          </w:p>
        </w:tc>
        <w:tc>
          <w:tcPr>
            <w:tcW w:w="3157" w:type="pct"/>
            <w:tcBorders>
              <w:top w:val="single" w:sz="8" w:space="0" w:color="B3B3B3"/>
              <w:left w:val="nil"/>
              <w:bottom w:val="single" w:sz="8" w:space="0" w:color="B3B3B3"/>
              <w:right w:val="single" w:sz="8" w:space="0" w:color="B3B3B3"/>
            </w:tcBorders>
            <w:shd w:val="clear" w:color="auto" w:fill="auto"/>
            <w:vAlign w:val="center"/>
            <w:hideMark/>
          </w:tcPr>
          <w:p w14:paraId="583FC01E"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10 units is sufficient, generally 1 µl is used</w:t>
            </w:r>
          </w:p>
        </w:tc>
      </w:tr>
      <w:tr w:rsidR="00853FF7" w:rsidRPr="00853FF7" w14:paraId="0533F5F8" w14:textId="77777777" w:rsidTr="00853FF7">
        <w:trPr>
          <w:trHeight w:val="165"/>
        </w:trPr>
        <w:tc>
          <w:tcPr>
            <w:tcW w:w="1843" w:type="pct"/>
            <w:tcBorders>
              <w:top w:val="nil"/>
              <w:left w:val="single" w:sz="8" w:space="0" w:color="B3B3B3"/>
              <w:bottom w:val="single" w:sz="8" w:space="0" w:color="B3B3B3"/>
              <w:right w:val="single" w:sz="8" w:space="0" w:color="B3B3B3"/>
            </w:tcBorders>
            <w:shd w:val="clear" w:color="000000" w:fill="ECEDE8"/>
            <w:vAlign w:val="center"/>
            <w:hideMark/>
          </w:tcPr>
          <w:p w14:paraId="1DCFA249"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DNA</w:t>
            </w:r>
          </w:p>
        </w:tc>
        <w:tc>
          <w:tcPr>
            <w:tcW w:w="3157" w:type="pct"/>
            <w:tcBorders>
              <w:top w:val="nil"/>
              <w:left w:val="nil"/>
              <w:bottom w:val="single" w:sz="8" w:space="0" w:color="B3B3B3"/>
              <w:right w:val="single" w:sz="8" w:space="0" w:color="B3B3B3"/>
            </w:tcBorders>
            <w:shd w:val="clear" w:color="000000" w:fill="ECEDE8"/>
            <w:vAlign w:val="center"/>
            <w:hideMark/>
          </w:tcPr>
          <w:p w14:paraId="41917B4C"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1 µg</w:t>
            </w:r>
          </w:p>
        </w:tc>
      </w:tr>
      <w:tr w:rsidR="00853FF7" w:rsidRPr="00853FF7" w14:paraId="6A8F7B98" w14:textId="77777777" w:rsidTr="00853FF7">
        <w:trPr>
          <w:trHeight w:val="301"/>
        </w:trPr>
        <w:tc>
          <w:tcPr>
            <w:tcW w:w="1843" w:type="pct"/>
            <w:tcBorders>
              <w:top w:val="nil"/>
              <w:left w:val="single" w:sz="8" w:space="0" w:color="B3B3B3"/>
              <w:bottom w:val="single" w:sz="8" w:space="0" w:color="B3B3B3"/>
              <w:right w:val="single" w:sz="8" w:space="0" w:color="B3B3B3"/>
            </w:tcBorders>
            <w:shd w:val="clear" w:color="auto" w:fill="auto"/>
            <w:vAlign w:val="center"/>
            <w:hideMark/>
          </w:tcPr>
          <w:p w14:paraId="356FD907"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 xml:space="preserve">10X </w:t>
            </w:r>
            <w:proofErr w:type="spellStart"/>
            <w:r w:rsidRPr="00853FF7">
              <w:rPr>
                <w:rFonts w:ascii="Arial" w:eastAsia="DengXian" w:hAnsi="Arial" w:cs="Arial"/>
                <w:color w:val="000000"/>
                <w:kern w:val="0"/>
                <w:sz w:val="20"/>
                <w:szCs w:val="20"/>
              </w:rPr>
              <w:t>NEBuffer</w:t>
            </w:r>
            <w:proofErr w:type="spellEnd"/>
          </w:p>
        </w:tc>
        <w:tc>
          <w:tcPr>
            <w:tcW w:w="3157" w:type="pct"/>
            <w:tcBorders>
              <w:top w:val="nil"/>
              <w:left w:val="nil"/>
              <w:bottom w:val="single" w:sz="8" w:space="0" w:color="B3B3B3"/>
              <w:right w:val="single" w:sz="8" w:space="0" w:color="B3B3B3"/>
            </w:tcBorders>
            <w:shd w:val="clear" w:color="auto" w:fill="auto"/>
            <w:vAlign w:val="center"/>
            <w:hideMark/>
          </w:tcPr>
          <w:p w14:paraId="1EE5A249"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5 µl (1X)</w:t>
            </w:r>
          </w:p>
        </w:tc>
      </w:tr>
      <w:tr w:rsidR="00853FF7" w:rsidRPr="00853FF7" w14:paraId="690CE317" w14:textId="77777777" w:rsidTr="00853FF7">
        <w:trPr>
          <w:trHeight w:val="447"/>
        </w:trPr>
        <w:tc>
          <w:tcPr>
            <w:tcW w:w="1843" w:type="pct"/>
            <w:tcBorders>
              <w:top w:val="nil"/>
              <w:left w:val="single" w:sz="8" w:space="0" w:color="B3B3B3"/>
              <w:bottom w:val="single" w:sz="8" w:space="0" w:color="B3B3B3"/>
              <w:right w:val="single" w:sz="8" w:space="0" w:color="B3B3B3"/>
            </w:tcBorders>
            <w:shd w:val="clear" w:color="000000" w:fill="ECEDE8"/>
            <w:vAlign w:val="center"/>
            <w:hideMark/>
          </w:tcPr>
          <w:p w14:paraId="1D857573"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Total Reaction Volume</w:t>
            </w:r>
          </w:p>
        </w:tc>
        <w:tc>
          <w:tcPr>
            <w:tcW w:w="3157" w:type="pct"/>
            <w:tcBorders>
              <w:top w:val="nil"/>
              <w:left w:val="nil"/>
              <w:bottom w:val="single" w:sz="8" w:space="0" w:color="B3B3B3"/>
              <w:right w:val="single" w:sz="8" w:space="0" w:color="B3B3B3"/>
            </w:tcBorders>
            <w:shd w:val="clear" w:color="000000" w:fill="ECEDE8"/>
            <w:vAlign w:val="center"/>
            <w:hideMark/>
          </w:tcPr>
          <w:p w14:paraId="23F78097"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50 µl</w:t>
            </w:r>
          </w:p>
        </w:tc>
      </w:tr>
      <w:tr w:rsidR="00853FF7" w:rsidRPr="00853FF7" w14:paraId="71188134" w14:textId="77777777" w:rsidTr="00853FF7">
        <w:trPr>
          <w:trHeight w:val="301"/>
        </w:trPr>
        <w:tc>
          <w:tcPr>
            <w:tcW w:w="1843" w:type="pct"/>
            <w:tcBorders>
              <w:top w:val="nil"/>
              <w:left w:val="single" w:sz="8" w:space="0" w:color="B3B3B3"/>
              <w:bottom w:val="single" w:sz="8" w:space="0" w:color="B3B3B3"/>
              <w:right w:val="single" w:sz="8" w:space="0" w:color="B3B3B3"/>
            </w:tcBorders>
            <w:shd w:val="clear" w:color="auto" w:fill="auto"/>
            <w:vAlign w:val="center"/>
            <w:hideMark/>
          </w:tcPr>
          <w:p w14:paraId="2E70D913"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Incubation Time</w:t>
            </w:r>
          </w:p>
        </w:tc>
        <w:tc>
          <w:tcPr>
            <w:tcW w:w="3157" w:type="pct"/>
            <w:tcBorders>
              <w:top w:val="nil"/>
              <w:left w:val="nil"/>
              <w:bottom w:val="single" w:sz="8" w:space="0" w:color="B3B3B3"/>
              <w:right w:val="single" w:sz="8" w:space="0" w:color="B3B3B3"/>
            </w:tcBorders>
            <w:shd w:val="clear" w:color="auto" w:fill="auto"/>
            <w:vAlign w:val="center"/>
            <w:hideMark/>
          </w:tcPr>
          <w:p w14:paraId="3A448113"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1 hour*</w:t>
            </w:r>
          </w:p>
        </w:tc>
      </w:tr>
      <w:tr w:rsidR="00853FF7" w:rsidRPr="00853FF7" w14:paraId="1DB9B2FA" w14:textId="77777777" w:rsidTr="00853FF7">
        <w:trPr>
          <w:trHeight w:val="301"/>
        </w:trPr>
        <w:tc>
          <w:tcPr>
            <w:tcW w:w="1843" w:type="pct"/>
            <w:tcBorders>
              <w:top w:val="nil"/>
              <w:left w:val="single" w:sz="8" w:space="0" w:color="B3B3B3"/>
              <w:bottom w:val="single" w:sz="8" w:space="0" w:color="B3B3B3"/>
              <w:right w:val="single" w:sz="8" w:space="0" w:color="B3B3B3"/>
            </w:tcBorders>
            <w:shd w:val="clear" w:color="000000" w:fill="ECEDE8"/>
            <w:vAlign w:val="center"/>
            <w:hideMark/>
          </w:tcPr>
          <w:p w14:paraId="542196C9"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Incubation Temperature</w:t>
            </w:r>
          </w:p>
        </w:tc>
        <w:tc>
          <w:tcPr>
            <w:tcW w:w="3157" w:type="pct"/>
            <w:tcBorders>
              <w:top w:val="nil"/>
              <w:left w:val="nil"/>
              <w:bottom w:val="single" w:sz="8" w:space="0" w:color="B3B3B3"/>
              <w:right w:val="single" w:sz="8" w:space="0" w:color="B3B3B3"/>
            </w:tcBorders>
            <w:shd w:val="clear" w:color="000000" w:fill="ECEDE8"/>
            <w:vAlign w:val="center"/>
            <w:hideMark/>
          </w:tcPr>
          <w:p w14:paraId="27A27044" w14:textId="77777777" w:rsidR="00853FF7" w:rsidRPr="00853FF7" w:rsidRDefault="00853FF7" w:rsidP="00853FF7">
            <w:pPr>
              <w:widowControl/>
              <w:jc w:val="left"/>
              <w:rPr>
                <w:rFonts w:ascii="Arial" w:eastAsia="DengXian" w:hAnsi="Arial" w:cs="Arial"/>
                <w:color w:val="000000"/>
                <w:kern w:val="0"/>
                <w:sz w:val="20"/>
                <w:szCs w:val="20"/>
              </w:rPr>
            </w:pPr>
            <w:r w:rsidRPr="00853FF7">
              <w:rPr>
                <w:rFonts w:ascii="Arial" w:eastAsia="DengXian" w:hAnsi="Arial" w:cs="Arial"/>
                <w:color w:val="000000"/>
                <w:kern w:val="0"/>
                <w:sz w:val="20"/>
                <w:szCs w:val="20"/>
              </w:rPr>
              <w:t>Enzyme dependent</w:t>
            </w:r>
          </w:p>
        </w:tc>
      </w:tr>
    </w:tbl>
    <w:p w14:paraId="42779135" w14:textId="073F3073" w:rsidR="00853FF7" w:rsidRPr="00853FF7" w:rsidRDefault="00853FF7" w:rsidP="00853FF7">
      <w:pPr>
        <w:widowControl/>
        <w:spacing w:before="100" w:beforeAutospacing="1" w:after="100" w:afterAutospacing="1"/>
        <w:jc w:val="left"/>
        <w:rPr>
          <w:rFonts w:ascii="Arial" w:hAnsi="Arial" w:cs="Arial"/>
          <w:color w:val="212529"/>
          <w:kern w:val="0"/>
          <w:sz w:val="20"/>
          <w:szCs w:val="20"/>
        </w:rPr>
      </w:pPr>
      <w:r w:rsidRPr="00853FF7">
        <w:rPr>
          <w:rFonts w:ascii="Arial" w:hAnsi="Arial" w:cs="Arial"/>
          <w:color w:val="212529"/>
          <w:kern w:val="0"/>
          <w:sz w:val="20"/>
          <w:szCs w:val="20"/>
        </w:rPr>
        <w:t>* Can be decreased to 5-15 minutes by using a </w:t>
      </w:r>
      <w:r w:rsidRPr="00853FF7">
        <w:rPr>
          <w:rFonts w:ascii="Arial" w:hAnsi="Arial" w:cs="Arial"/>
          <w:color w:val="CA4A05"/>
          <w:kern w:val="0"/>
          <w:sz w:val="20"/>
          <w:szCs w:val="20"/>
          <w:u w:val="single"/>
        </w:rPr>
        <w:t>Time-Save Qualified enzyme</w:t>
      </w:r>
      <w:r w:rsidRPr="00853FF7">
        <w:rPr>
          <w:rFonts w:ascii="Arial" w:hAnsi="Arial" w:cs="Arial"/>
          <w:color w:val="212529"/>
          <w:kern w:val="0"/>
          <w:sz w:val="20"/>
          <w:szCs w:val="20"/>
        </w:rPr>
        <w:t>.</w:t>
      </w:r>
    </w:p>
    <w:p w14:paraId="000A7EC4" w14:textId="77777777" w:rsidR="00853FF7" w:rsidRPr="00853FF7" w:rsidRDefault="00853FF7" w:rsidP="00853FF7">
      <w:pPr>
        <w:widowControl/>
        <w:spacing w:after="120" w:line="320" w:lineRule="atLeast"/>
        <w:jc w:val="left"/>
        <w:outlineLvl w:val="2"/>
        <w:rPr>
          <w:color w:val="212529"/>
          <w:kern w:val="0"/>
          <w:sz w:val="27"/>
          <w:szCs w:val="27"/>
        </w:rPr>
      </w:pPr>
      <w:r w:rsidRPr="00853FF7">
        <w:rPr>
          <w:color w:val="212529"/>
          <w:kern w:val="0"/>
          <w:sz w:val="27"/>
          <w:szCs w:val="27"/>
        </w:rPr>
        <w:t>Enzyme</w:t>
      </w:r>
    </w:p>
    <w:p w14:paraId="30C2B3B4" w14:textId="25EC0058" w:rsidR="00853FF7" w:rsidRPr="00853FF7" w:rsidRDefault="00853FF7" w:rsidP="007F7B06">
      <w:pPr>
        <w:widowControl/>
        <w:spacing w:after="120"/>
        <w:jc w:val="left"/>
        <w:rPr>
          <w:rFonts w:ascii="Arial" w:hAnsi="Arial" w:cs="Arial"/>
          <w:color w:val="212529"/>
          <w:kern w:val="0"/>
          <w:sz w:val="20"/>
          <w:szCs w:val="20"/>
        </w:rPr>
      </w:pPr>
      <w:r w:rsidRPr="00853FF7">
        <w:rPr>
          <w:rFonts w:ascii="Arial" w:hAnsi="Arial" w:cs="Arial"/>
          <w:color w:val="212529"/>
          <w:kern w:val="0"/>
          <w:sz w:val="20"/>
          <w:szCs w:val="20"/>
        </w:rPr>
        <w:t>Keep on ice when not in the freeze</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Should be the last component added to reaction</w:t>
      </w:r>
      <w:r w:rsidR="007F7B06">
        <w:rPr>
          <w:rFonts w:ascii="Arial" w:hAnsi="Arial" w:cs="Arial" w:hint="eastAsia"/>
          <w:color w:val="212529"/>
          <w:kern w:val="0"/>
          <w:sz w:val="20"/>
          <w:szCs w:val="20"/>
        </w:rPr>
        <w:t>.</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Mix components by pipetting the reaction mixture up and down, or by "flicking" the reaction tube. Follow with a quick ("touch") spin-down in a microcentrifuge. Do not vortex the reaction</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 xml:space="preserve">In general, we recommend 5–10 units of enzyme per µg DNA, and 10–20 units for genomic DNA in a </w:t>
      </w:r>
      <w:proofErr w:type="gramStart"/>
      <w:r w:rsidRPr="00853FF7">
        <w:rPr>
          <w:rFonts w:ascii="Arial" w:hAnsi="Arial" w:cs="Arial"/>
          <w:color w:val="212529"/>
          <w:kern w:val="0"/>
          <w:sz w:val="20"/>
          <w:szCs w:val="20"/>
        </w:rPr>
        <w:t>1 hour</w:t>
      </w:r>
      <w:proofErr w:type="gramEnd"/>
      <w:r w:rsidRPr="00853FF7">
        <w:rPr>
          <w:rFonts w:ascii="Arial" w:hAnsi="Arial" w:cs="Arial"/>
          <w:color w:val="212529"/>
          <w:kern w:val="0"/>
          <w:sz w:val="20"/>
          <w:szCs w:val="20"/>
        </w:rPr>
        <w:t xml:space="preserve"> digest</w:t>
      </w:r>
      <w:r w:rsidR="007F7B06">
        <w:rPr>
          <w:rFonts w:ascii="Arial" w:hAnsi="Arial" w:cs="Arial" w:hint="eastAsia"/>
          <w:color w:val="212529"/>
          <w:kern w:val="0"/>
          <w:sz w:val="20"/>
          <w:szCs w:val="20"/>
        </w:rPr>
        <w:t>.</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NEB has introduced a line of </w:t>
      </w:r>
      <w:r w:rsidRPr="00853FF7">
        <w:rPr>
          <w:rFonts w:ascii="Arial" w:hAnsi="Arial" w:cs="Arial"/>
          <w:color w:val="CA4A05"/>
          <w:kern w:val="0"/>
          <w:sz w:val="20"/>
          <w:szCs w:val="20"/>
          <w:u w:val="single"/>
        </w:rPr>
        <w:t>High-Fidelity (HF®) enzymes</w:t>
      </w:r>
      <w:r w:rsidRPr="00853FF7">
        <w:rPr>
          <w:rFonts w:ascii="Arial" w:hAnsi="Arial" w:cs="Arial"/>
          <w:color w:val="212529"/>
          <w:kern w:val="0"/>
          <w:sz w:val="20"/>
          <w:szCs w:val="20"/>
        </w:rPr>
        <w:t> that provide added flexibility to reaction setup</w:t>
      </w:r>
      <w:r w:rsidR="007F7B06">
        <w:rPr>
          <w:rFonts w:ascii="Arial" w:hAnsi="Arial" w:cs="Arial" w:hint="eastAsia"/>
          <w:color w:val="212529"/>
          <w:kern w:val="0"/>
          <w:sz w:val="20"/>
          <w:szCs w:val="20"/>
        </w:rPr>
        <w:t>.</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Some restriction enzymes require more than one recognition site to cleave efficiently.</w:t>
      </w:r>
      <w:r>
        <w:rPr>
          <w:rFonts w:ascii="Arial" w:hAnsi="Arial" w:cs="Arial"/>
          <w:color w:val="212529"/>
          <w:kern w:val="0"/>
          <w:sz w:val="20"/>
          <w:szCs w:val="20"/>
        </w:rPr>
        <w:t xml:space="preserve"> </w:t>
      </w:r>
      <w:r w:rsidRPr="00853FF7">
        <w:rPr>
          <w:rFonts w:ascii="Arial" w:hAnsi="Arial" w:cs="Arial"/>
          <w:color w:val="212529"/>
          <w:kern w:val="0"/>
          <w:sz w:val="20"/>
          <w:szCs w:val="20"/>
        </w:rPr>
        <w:t>These are designated with the “multi-site” icon . Please review </w:t>
      </w:r>
      <w:r w:rsidRPr="00853FF7">
        <w:rPr>
          <w:rFonts w:ascii="Arial" w:hAnsi="Arial" w:cs="Arial"/>
          <w:color w:val="CA4A05"/>
          <w:kern w:val="0"/>
          <w:sz w:val="20"/>
          <w:szCs w:val="20"/>
          <w:u w:val="single"/>
        </w:rPr>
        <w:t>recommendations</w:t>
      </w:r>
      <w:r w:rsidRPr="00853FF7">
        <w:rPr>
          <w:rFonts w:ascii="Arial" w:hAnsi="Arial" w:cs="Arial"/>
          <w:color w:val="212529"/>
          <w:kern w:val="0"/>
          <w:sz w:val="20"/>
          <w:szCs w:val="20"/>
        </w:rPr>
        <w:t> on working with these enzymes.</w:t>
      </w:r>
    </w:p>
    <w:p w14:paraId="3874C34D" w14:textId="77777777" w:rsidR="00853FF7" w:rsidRPr="00853FF7" w:rsidRDefault="00853FF7" w:rsidP="00853FF7">
      <w:pPr>
        <w:widowControl/>
        <w:spacing w:after="120" w:line="320" w:lineRule="atLeast"/>
        <w:jc w:val="left"/>
        <w:outlineLvl w:val="2"/>
        <w:rPr>
          <w:color w:val="212529"/>
          <w:kern w:val="0"/>
          <w:sz w:val="27"/>
          <w:szCs w:val="27"/>
        </w:rPr>
      </w:pPr>
      <w:r w:rsidRPr="00853FF7">
        <w:rPr>
          <w:color w:val="212529"/>
          <w:kern w:val="0"/>
          <w:sz w:val="27"/>
          <w:szCs w:val="27"/>
        </w:rPr>
        <w:t>DNA</w:t>
      </w:r>
    </w:p>
    <w:p w14:paraId="178BE1A8" w14:textId="4BBCA788" w:rsidR="00853FF7" w:rsidRPr="00853FF7" w:rsidRDefault="00853FF7" w:rsidP="007F7B06">
      <w:pPr>
        <w:widowControl/>
        <w:spacing w:after="120"/>
        <w:jc w:val="left"/>
        <w:rPr>
          <w:rFonts w:ascii="Arial" w:hAnsi="Arial" w:cs="Arial"/>
          <w:color w:val="212529"/>
          <w:kern w:val="0"/>
          <w:sz w:val="20"/>
          <w:szCs w:val="20"/>
        </w:rPr>
      </w:pPr>
      <w:r w:rsidRPr="00853FF7">
        <w:rPr>
          <w:rFonts w:ascii="Arial" w:hAnsi="Arial" w:cs="Arial"/>
          <w:color w:val="212529"/>
          <w:kern w:val="0"/>
          <w:sz w:val="20"/>
          <w:szCs w:val="20"/>
        </w:rPr>
        <w:t>Should be free of contaminants such as phenol, chloroform, alcohol, EDTA, detergents or excessive salts. Extra wash steps during purification are recommended.</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Methylation of DNA can inhibit digestion with certain enzymes. For more information about methylation, </w:t>
      </w:r>
      <w:r w:rsidRPr="00853FF7">
        <w:rPr>
          <w:rFonts w:ascii="Arial" w:hAnsi="Arial" w:cs="Arial"/>
          <w:color w:val="CA4A05"/>
          <w:kern w:val="0"/>
          <w:sz w:val="20"/>
          <w:szCs w:val="20"/>
          <w:u w:val="single"/>
        </w:rPr>
        <w:t>Effect of CpG Methylation on Restriction Enzyme Cleavage</w:t>
      </w:r>
      <w:r w:rsidRPr="00853FF7">
        <w:rPr>
          <w:rFonts w:ascii="Arial" w:hAnsi="Arial" w:cs="Arial"/>
          <w:color w:val="212529"/>
          <w:kern w:val="0"/>
          <w:sz w:val="20"/>
          <w:szCs w:val="20"/>
        </w:rPr>
        <w:t> and </w:t>
      </w:r>
      <w:r w:rsidRPr="00853FF7">
        <w:rPr>
          <w:rFonts w:ascii="Arial" w:hAnsi="Arial" w:cs="Arial"/>
          <w:color w:val="CA4A05"/>
          <w:kern w:val="0"/>
          <w:sz w:val="20"/>
          <w:szCs w:val="20"/>
          <w:u w:val="single"/>
        </w:rPr>
        <w:t xml:space="preserve">Dam and </w:t>
      </w:r>
      <w:proofErr w:type="spellStart"/>
      <w:r w:rsidRPr="00853FF7">
        <w:rPr>
          <w:rFonts w:ascii="Arial" w:hAnsi="Arial" w:cs="Arial"/>
          <w:color w:val="CA4A05"/>
          <w:kern w:val="0"/>
          <w:sz w:val="20"/>
          <w:szCs w:val="20"/>
          <w:u w:val="single"/>
        </w:rPr>
        <w:t>Dcm</w:t>
      </w:r>
      <w:proofErr w:type="spellEnd"/>
      <w:r w:rsidRPr="00853FF7">
        <w:rPr>
          <w:rFonts w:ascii="Arial" w:hAnsi="Arial" w:cs="Arial"/>
          <w:color w:val="CA4A05"/>
          <w:kern w:val="0"/>
          <w:sz w:val="20"/>
          <w:szCs w:val="20"/>
          <w:u w:val="single"/>
        </w:rPr>
        <w:t xml:space="preserve"> Methylases of </w:t>
      </w:r>
      <w:r w:rsidRPr="00853FF7">
        <w:rPr>
          <w:rFonts w:ascii="Arial" w:hAnsi="Arial" w:cs="Arial"/>
          <w:i/>
          <w:iCs/>
          <w:color w:val="CA4A05"/>
          <w:kern w:val="0"/>
          <w:sz w:val="20"/>
          <w:szCs w:val="20"/>
        </w:rPr>
        <w:t>E.coli</w:t>
      </w:r>
    </w:p>
    <w:p w14:paraId="6C5CB8C7" w14:textId="77777777" w:rsidR="00853FF7" w:rsidRPr="00853FF7" w:rsidRDefault="00853FF7" w:rsidP="00853FF7">
      <w:pPr>
        <w:widowControl/>
        <w:spacing w:after="120" w:line="320" w:lineRule="atLeast"/>
        <w:jc w:val="left"/>
        <w:outlineLvl w:val="2"/>
        <w:rPr>
          <w:color w:val="212529"/>
          <w:kern w:val="0"/>
          <w:sz w:val="27"/>
          <w:szCs w:val="27"/>
        </w:rPr>
      </w:pPr>
      <w:r w:rsidRPr="00853FF7">
        <w:rPr>
          <w:color w:val="212529"/>
          <w:kern w:val="0"/>
          <w:sz w:val="27"/>
          <w:szCs w:val="27"/>
        </w:rPr>
        <w:t>Buffer</w:t>
      </w:r>
    </w:p>
    <w:p w14:paraId="24F1C24C" w14:textId="6EACEABF" w:rsidR="00853FF7" w:rsidRPr="00853FF7" w:rsidRDefault="00853FF7" w:rsidP="007F7B06">
      <w:pPr>
        <w:widowControl/>
        <w:spacing w:after="120"/>
        <w:jc w:val="left"/>
        <w:rPr>
          <w:rFonts w:ascii="Arial" w:hAnsi="Arial" w:cs="Arial"/>
          <w:color w:val="212529"/>
          <w:kern w:val="0"/>
          <w:sz w:val="20"/>
          <w:szCs w:val="20"/>
        </w:rPr>
      </w:pPr>
      <w:r w:rsidRPr="00853FF7">
        <w:rPr>
          <w:rFonts w:ascii="Arial" w:hAnsi="Arial" w:cs="Arial"/>
          <w:color w:val="212529"/>
          <w:kern w:val="0"/>
          <w:sz w:val="20"/>
          <w:szCs w:val="20"/>
        </w:rPr>
        <w:t>Use at a 1X concentration</w:t>
      </w:r>
      <w:r w:rsidR="007F7B06">
        <w:rPr>
          <w:rFonts w:ascii="Arial" w:hAnsi="Arial" w:cs="Arial" w:hint="eastAsia"/>
          <w:color w:val="212529"/>
          <w:kern w:val="0"/>
          <w:sz w:val="20"/>
          <w:szCs w:val="20"/>
        </w:rPr>
        <w:t>.</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Supplement with SAM (S-Adenosyl methionine) to the recommended concentration if required.</w:t>
      </w:r>
    </w:p>
    <w:p w14:paraId="69B7A8AF" w14:textId="77777777" w:rsidR="00853FF7" w:rsidRPr="00853FF7" w:rsidRDefault="00853FF7" w:rsidP="00853FF7">
      <w:pPr>
        <w:widowControl/>
        <w:spacing w:after="120" w:line="320" w:lineRule="atLeast"/>
        <w:jc w:val="left"/>
        <w:outlineLvl w:val="2"/>
        <w:rPr>
          <w:color w:val="212529"/>
          <w:kern w:val="0"/>
          <w:sz w:val="27"/>
          <w:szCs w:val="27"/>
        </w:rPr>
      </w:pPr>
      <w:r w:rsidRPr="00853FF7">
        <w:rPr>
          <w:color w:val="212529"/>
          <w:kern w:val="0"/>
          <w:sz w:val="27"/>
          <w:szCs w:val="27"/>
        </w:rPr>
        <w:t>Reaction Volume</w:t>
      </w:r>
    </w:p>
    <w:p w14:paraId="7C24F0E6" w14:textId="7F96371E" w:rsidR="00853FF7" w:rsidRDefault="00853FF7" w:rsidP="007F7B06">
      <w:pPr>
        <w:widowControl/>
        <w:spacing w:after="120"/>
        <w:rPr>
          <w:rFonts w:ascii="Arial" w:hAnsi="Arial" w:cs="Arial"/>
          <w:color w:val="212529"/>
          <w:kern w:val="0"/>
          <w:sz w:val="20"/>
          <w:szCs w:val="20"/>
        </w:rPr>
      </w:pPr>
      <w:r w:rsidRPr="00853FF7">
        <w:rPr>
          <w:rFonts w:ascii="Arial" w:hAnsi="Arial" w:cs="Arial"/>
          <w:color w:val="212529"/>
          <w:kern w:val="0"/>
          <w:sz w:val="20"/>
          <w:szCs w:val="20"/>
        </w:rPr>
        <w:t>A 50 µl reaction volume is recommended for digestion of 1 µg of substrate</w:t>
      </w:r>
      <w:r w:rsidR="007F7B06">
        <w:rPr>
          <w:rFonts w:ascii="Arial" w:hAnsi="Arial" w:cs="Arial" w:hint="eastAsia"/>
          <w:color w:val="212529"/>
          <w:kern w:val="0"/>
          <w:sz w:val="20"/>
          <w:szCs w:val="20"/>
        </w:rPr>
        <w:t>；</w:t>
      </w:r>
      <w:r w:rsidRPr="00853FF7">
        <w:rPr>
          <w:rFonts w:ascii="Arial" w:hAnsi="Arial" w:cs="Arial"/>
          <w:color w:val="212529"/>
          <w:kern w:val="0"/>
          <w:sz w:val="20"/>
          <w:szCs w:val="20"/>
        </w:rPr>
        <w:t>Enzyme volume should not exceed 10% of the total reaction volume to prevent </w:t>
      </w:r>
      <w:r w:rsidRPr="00853FF7">
        <w:rPr>
          <w:rFonts w:ascii="Arial" w:hAnsi="Arial" w:cs="Arial"/>
          <w:color w:val="CA4A05"/>
          <w:kern w:val="0"/>
          <w:sz w:val="20"/>
          <w:szCs w:val="20"/>
          <w:u w:val="single"/>
        </w:rPr>
        <w:t>star activity</w:t>
      </w:r>
      <w:r w:rsidRPr="00853FF7">
        <w:rPr>
          <w:rFonts w:ascii="Arial" w:hAnsi="Arial" w:cs="Arial"/>
          <w:color w:val="212529"/>
          <w:kern w:val="0"/>
          <w:sz w:val="20"/>
          <w:szCs w:val="20"/>
        </w:rPr>
        <w:t> due to excess glycerol</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Additives in the restriction enzyme storage buffer (e.g., glycerol, salt) as well as contaminants found in the substrate solution (e.g., salt, EDTA, or alcohol) can be problematic in smaller reaction volumes. The following guidelines can be used for techniques that require smaller reaction volumes.</w:t>
      </w:r>
    </w:p>
    <w:p w14:paraId="344BA631" w14:textId="77777777" w:rsidR="007F7B06" w:rsidRPr="00853FF7" w:rsidRDefault="007F7B06" w:rsidP="007F7B06">
      <w:pPr>
        <w:widowControl/>
        <w:ind w:left="360"/>
        <w:jc w:val="left"/>
        <w:rPr>
          <w:rFonts w:ascii="Arial" w:hAnsi="Arial" w:cs="Arial" w:hint="eastAsia"/>
          <w:color w:val="212529"/>
          <w:kern w:val="0"/>
          <w:sz w:val="20"/>
          <w:szCs w:val="20"/>
        </w:rPr>
      </w:pPr>
    </w:p>
    <w:tbl>
      <w:tblPr>
        <w:tblW w:w="4969" w:type="pct"/>
        <w:tblLook w:val="04A0" w:firstRow="1" w:lastRow="0" w:firstColumn="1" w:lastColumn="0" w:noHBand="0" w:noVBand="1"/>
      </w:tblPr>
      <w:tblGrid>
        <w:gridCol w:w="2399"/>
        <w:gridCol w:w="3907"/>
        <w:gridCol w:w="1474"/>
        <w:gridCol w:w="2601"/>
      </w:tblGrid>
      <w:tr w:rsidR="00853FF7" w:rsidRPr="007F7B06" w14:paraId="1283D73A" w14:textId="77777777" w:rsidTr="00853FF7">
        <w:trPr>
          <w:trHeight w:val="33"/>
        </w:trPr>
        <w:tc>
          <w:tcPr>
            <w:tcW w:w="1155" w:type="pct"/>
            <w:tcBorders>
              <w:top w:val="single" w:sz="8" w:space="0" w:color="B3B3B3"/>
              <w:left w:val="single" w:sz="8" w:space="0" w:color="B3B3B3"/>
              <w:bottom w:val="single" w:sz="8" w:space="0" w:color="8C8C8C"/>
              <w:right w:val="single" w:sz="8" w:space="0" w:color="B3B3B3"/>
            </w:tcBorders>
            <w:shd w:val="clear" w:color="000000" w:fill="C6C5C0"/>
            <w:hideMark/>
          </w:tcPr>
          <w:p w14:paraId="4297C662" w14:textId="5DF46EFD" w:rsidR="00853FF7" w:rsidRPr="00853FF7" w:rsidRDefault="00853FF7" w:rsidP="00853FF7">
            <w:pPr>
              <w:widowControl/>
              <w:jc w:val="left"/>
              <w:rPr>
                <w:rFonts w:ascii="Arial" w:eastAsia="DengXian" w:hAnsi="Arial" w:cs="Arial"/>
                <w:color w:val="000000"/>
                <w:kern w:val="0"/>
                <w:sz w:val="20"/>
                <w:szCs w:val="20"/>
              </w:rPr>
            </w:pPr>
          </w:p>
        </w:tc>
        <w:tc>
          <w:tcPr>
            <w:tcW w:w="1882" w:type="pct"/>
            <w:tcBorders>
              <w:top w:val="single" w:sz="8" w:space="0" w:color="B3B3B3"/>
              <w:left w:val="nil"/>
              <w:bottom w:val="single" w:sz="8" w:space="0" w:color="8C8C8C"/>
              <w:right w:val="single" w:sz="8" w:space="0" w:color="B3B3B3"/>
            </w:tcBorders>
            <w:shd w:val="clear" w:color="000000" w:fill="C6C5C0"/>
            <w:vAlign w:val="center"/>
            <w:hideMark/>
          </w:tcPr>
          <w:p w14:paraId="53A282AE"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Restriction Enzyme*</w:t>
            </w:r>
          </w:p>
        </w:tc>
        <w:tc>
          <w:tcPr>
            <w:tcW w:w="710" w:type="pct"/>
            <w:tcBorders>
              <w:top w:val="single" w:sz="8" w:space="0" w:color="B3B3B3"/>
              <w:left w:val="nil"/>
              <w:bottom w:val="single" w:sz="8" w:space="0" w:color="8C8C8C"/>
              <w:right w:val="single" w:sz="8" w:space="0" w:color="B3B3B3"/>
            </w:tcBorders>
            <w:shd w:val="clear" w:color="000000" w:fill="C6C5C0"/>
            <w:vAlign w:val="center"/>
            <w:hideMark/>
          </w:tcPr>
          <w:p w14:paraId="1C7C2854"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DNA</w:t>
            </w:r>
          </w:p>
        </w:tc>
        <w:tc>
          <w:tcPr>
            <w:tcW w:w="1253" w:type="pct"/>
            <w:tcBorders>
              <w:top w:val="single" w:sz="8" w:space="0" w:color="B3B3B3"/>
              <w:left w:val="nil"/>
              <w:bottom w:val="single" w:sz="8" w:space="0" w:color="8C8C8C"/>
              <w:right w:val="single" w:sz="8" w:space="0" w:color="B3B3B3"/>
            </w:tcBorders>
            <w:shd w:val="clear" w:color="000000" w:fill="C6C5C0"/>
            <w:vAlign w:val="center"/>
            <w:hideMark/>
          </w:tcPr>
          <w:p w14:paraId="6223CD32"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 xml:space="preserve">10X </w:t>
            </w:r>
            <w:proofErr w:type="spellStart"/>
            <w:r w:rsidRPr="00853FF7">
              <w:rPr>
                <w:rFonts w:ascii="Arial" w:hAnsi="Arial" w:cs="Arial"/>
                <w:color w:val="000000"/>
                <w:kern w:val="0"/>
                <w:sz w:val="20"/>
                <w:szCs w:val="20"/>
              </w:rPr>
              <w:t>NEBuffer</w:t>
            </w:r>
            <w:proofErr w:type="spellEnd"/>
          </w:p>
        </w:tc>
      </w:tr>
      <w:tr w:rsidR="007F7B06" w:rsidRPr="007F7B06" w14:paraId="17B6E02B" w14:textId="77777777" w:rsidTr="00853FF7">
        <w:trPr>
          <w:trHeight w:val="422"/>
        </w:trPr>
        <w:tc>
          <w:tcPr>
            <w:tcW w:w="1155" w:type="pct"/>
            <w:tcBorders>
              <w:top w:val="nil"/>
              <w:left w:val="single" w:sz="8" w:space="0" w:color="B3B3B3"/>
              <w:bottom w:val="single" w:sz="8" w:space="0" w:color="B3B3B3"/>
              <w:right w:val="single" w:sz="8" w:space="0" w:color="B3B3B3"/>
            </w:tcBorders>
            <w:shd w:val="clear" w:color="auto" w:fill="auto"/>
            <w:vAlign w:val="center"/>
            <w:hideMark/>
          </w:tcPr>
          <w:p w14:paraId="66E47A4D"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 xml:space="preserve">10 µl </w:t>
            </w:r>
            <w:proofErr w:type="spellStart"/>
            <w:r w:rsidRPr="00853FF7">
              <w:rPr>
                <w:rFonts w:ascii="Arial" w:hAnsi="Arial" w:cs="Arial"/>
                <w:color w:val="000000"/>
                <w:kern w:val="0"/>
                <w:sz w:val="20"/>
                <w:szCs w:val="20"/>
              </w:rPr>
              <w:t>rxn</w:t>
            </w:r>
            <w:proofErr w:type="spellEnd"/>
            <w:r w:rsidRPr="00853FF7">
              <w:rPr>
                <w:rFonts w:ascii="Arial" w:hAnsi="Arial" w:cs="Arial"/>
                <w:color w:val="000000"/>
                <w:kern w:val="0"/>
                <w:sz w:val="20"/>
                <w:szCs w:val="20"/>
              </w:rPr>
              <w:t>**</w:t>
            </w:r>
          </w:p>
        </w:tc>
        <w:tc>
          <w:tcPr>
            <w:tcW w:w="1882" w:type="pct"/>
            <w:tcBorders>
              <w:top w:val="nil"/>
              <w:left w:val="nil"/>
              <w:bottom w:val="single" w:sz="8" w:space="0" w:color="B3B3B3"/>
              <w:right w:val="single" w:sz="8" w:space="0" w:color="B3B3B3"/>
            </w:tcBorders>
            <w:shd w:val="clear" w:color="auto" w:fill="auto"/>
            <w:vAlign w:val="center"/>
            <w:hideMark/>
          </w:tcPr>
          <w:p w14:paraId="6634B895"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1 unit</w:t>
            </w:r>
          </w:p>
        </w:tc>
        <w:tc>
          <w:tcPr>
            <w:tcW w:w="710" w:type="pct"/>
            <w:tcBorders>
              <w:top w:val="nil"/>
              <w:left w:val="nil"/>
              <w:bottom w:val="single" w:sz="8" w:space="0" w:color="B3B3B3"/>
              <w:right w:val="single" w:sz="8" w:space="0" w:color="B3B3B3"/>
            </w:tcBorders>
            <w:shd w:val="clear" w:color="auto" w:fill="auto"/>
            <w:vAlign w:val="center"/>
            <w:hideMark/>
          </w:tcPr>
          <w:p w14:paraId="0F9A1974"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0.1 µg</w:t>
            </w:r>
          </w:p>
        </w:tc>
        <w:tc>
          <w:tcPr>
            <w:tcW w:w="1253" w:type="pct"/>
            <w:tcBorders>
              <w:top w:val="nil"/>
              <w:left w:val="nil"/>
              <w:bottom w:val="single" w:sz="8" w:space="0" w:color="B3B3B3"/>
              <w:right w:val="single" w:sz="8" w:space="0" w:color="B3B3B3"/>
            </w:tcBorders>
            <w:shd w:val="clear" w:color="auto" w:fill="auto"/>
            <w:vAlign w:val="center"/>
            <w:hideMark/>
          </w:tcPr>
          <w:p w14:paraId="25CF2B25"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1 µl</w:t>
            </w:r>
          </w:p>
        </w:tc>
      </w:tr>
      <w:tr w:rsidR="00853FF7" w:rsidRPr="007F7B06" w14:paraId="1955D2D6" w14:textId="77777777" w:rsidTr="00853FF7">
        <w:trPr>
          <w:trHeight w:val="231"/>
        </w:trPr>
        <w:tc>
          <w:tcPr>
            <w:tcW w:w="1155" w:type="pct"/>
            <w:tcBorders>
              <w:top w:val="nil"/>
              <w:left w:val="single" w:sz="8" w:space="0" w:color="B3B3B3"/>
              <w:bottom w:val="single" w:sz="8" w:space="0" w:color="B3B3B3"/>
              <w:right w:val="single" w:sz="8" w:space="0" w:color="B3B3B3"/>
            </w:tcBorders>
            <w:shd w:val="clear" w:color="000000" w:fill="ECEDE8"/>
            <w:vAlign w:val="center"/>
            <w:hideMark/>
          </w:tcPr>
          <w:p w14:paraId="5DC28E29"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 xml:space="preserve">25 µl </w:t>
            </w:r>
            <w:proofErr w:type="spellStart"/>
            <w:r w:rsidRPr="00853FF7">
              <w:rPr>
                <w:rFonts w:ascii="Arial" w:hAnsi="Arial" w:cs="Arial"/>
                <w:color w:val="000000"/>
                <w:kern w:val="0"/>
                <w:sz w:val="20"/>
                <w:szCs w:val="20"/>
              </w:rPr>
              <w:t>rxn</w:t>
            </w:r>
            <w:proofErr w:type="spellEnd"/>
          </w:p>
        </w:tc>
        <w:tc>
          <w:tcPr>
            <w:tcW w:w="1882" w:type="pct"/>
            <w:tcBorders>
              <w:top w:val="nil"/>
              <w:left w:val="nil"/>
              <w:bottom w:val="single" w:sz="8" w:space="0" w:color="B3B3B3"/>
              <w:right w:val="single" w:sz="8" w:space="0" w:color="B3B3B3"/>
            </w:tcBorders>
            <w:shd w:val="clear" w:color="000000" w:fill="ECEDE8"/>
            <w:vAlign w:val="center"/>
            <w:hideMark/>
          </w:tcPr>
          <w:p w14:paraId="0BD4B21C"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5 units</w:t>
            </w:r>
          </w:p>
        </w:tc>
        <w:tc>
          <w:tcPr>
            <w:tcW w:w="710" w:type="pct"/>
            <w:tcBorders>
              <w:top w:val="nil"/>
              <w:left w:val="nil"/>
              <w:bottom w:val="single" w:sz="8" w:space="0" w:color="B3B3B3"/>
              <w:right w:val="single" w:sz="8" w:space="0" w:color="B3B3B3"/>
            </w:tcBorders>
            <w:shd w:val="clear" w:color="000000" w:fill="ECEDE8"/>
            <w:vAlign w:val="center"/>
            <w:hideMark/>
          </w:tcPr>
          <w:p w14:paraId="79C18F45"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0.5 µg</w:t>
            </w:r>
          </w:p>
        </w:tc>
        <w:tc>
          <w:tcPr>
            <w:tcW w:w="1253" w:type="pct"/>
            <w:tcBorders>
              <w:top w:val="nil"/>
              <w:left w:val="nil"/>
              <w:bottom w:val="single" w:sz="8" w:space="0" w:color="B3B3B3"/>
              <w:right w:val="single" w:sz="8" w:space="0" w:color="B3B3B3"/>
            </w:tcBorders>
            <w:shd w:val="clear" w:color="000000" w:fill="ECEDE8"/>
            <w:vAlign w:val="center"/>
            <w:hideMark/>
          </w:tcPr>
          <w:p w14:paraId="11A245A0"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2.5 µl</w:t>
            </w:r>
          </w:p>
        </w:tc>
      </w:tr>
      <w:tr w:rsidR="007F7B06" w:rsidRPr="007F7B06" w14:paraId="4C3D1250" w14:textId="77777777" w:rsidTr="00853FF7">
        <w:trPr>
          <w:trHeight w:val="231"/>
        </w:trPr>
        <w:tc>
          <w:tcPr>
            <w:tcW w:w="1155" w:type="pct"/>
            <w:tcBorders>
              <w:top w:val="nil"/>
              <w:left w:val="single" w:sz="8" w:space="0" w:color="B3B3B3"/>
              <w:bottom w:val="single" w:sz="8" w:space="0" w:color="B3B3B3"/>
              <w:right w:val="single" w:sz="8" w:space="0" w:color="B3B3B3"/>
            </w:tcBorders>
            <w:shd w:val="clear" w:color="auto" w:fill="auto"/>
            <w:vAlign w:val="center"/>
            <w:hideMark/>
          </w:tcPr>
          <w:p w14:paraId="0C8608B4"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 xml:space="preserve">50 µl </w:t>
            </w:r>
            <w:proofErr w:type="spellStart"/>
            <w:r w:rsidRPr="00853FF7">
              <w:rPr>
                <w:rFonts w:ascii="Arial" w:hAnsi="Arial" w:cs="Arial"/>
                <w:color w:val="000000"/>
                <w:kern w:val="0"/>
                <w:sz w:val="20"/>
                <w:szCs w:val="20"/>
              </w:rPr>
              <w:t>rxn</w:t>
            </w:r>
            <w:proofErr w:type="spellEnd"/>
          </w:p>
        </w:tc>
        <w:tc>
          <w:tcPr>
            <w:tcW w:w="1882" w:type="pct"/>
            <w:tcBorders>
              <w:top w:val="nil"/>
              <w:left w:val="nil"/>
              <w:bottom w:val="single" w:sz="8" w:space="0" w:color="B3B3B3"/>
              <w:right w:val="single" w:sz="8" w:space="0" w:color="B3B3B3"/>
            </w:tcBorders>
            <w:shd w:val="clear" w:color="auto" w:fill="auto"/>
            <w:vAlign w:val="center"/>
            <w:hideMark/>
          </w:tcPr>
          <w:p w14:paraId="0D089445"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10 units</w:t>
            </w:r>
          </w:p>
        </w:tc>
        <w:tc>
          <w:tcPr>
            <w:tcW w:w="710" w:type="pct"/>
            <w:tcBorders>
              <w:top w:val="nil"/>
              <w:left w:val="nil"/>
              <w:bottom w:val="single" w:sz="8" w:space="0" w:color="B3B3B3"/>
              <w:right w:val="single" w:sz="8" w:space="0" w:color="B3B3B3"/>
            </w:tcBorders>
            <w:shd w:val="clear" w:color="auto" w:fill="auto"/>
            <w:vAlign w:val="center"/>
            <w:hideMark/>
          </w:tcPr>
          <w:p w14:paraId="1D2CDB5B"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1 µg</w:t>
            </w:r>
          </w:p>
        </w:tc>
        <w:tc>
          <w:tcPr>
            <w:tcW w:w="1253" w:type="pct"/>
            <w:tcBorders>
              <w:top w:val="nil"/>
              <w:left w:val="nil"/>
              <w:bottom w:val="single" w:sz="8" w:space="0" w:color="B3B3B3"/>
              <w:right w:val="single" w:sz="8" w:space="0" w:color="B3B3B3"/>
            </w:tcBorders>
            <w:shd w:val="clear" w:color="auto" w:fill="auto"/>
            <w:vAlign w:val="center"/>
            <w:hideMark/>
          </w:tcPr>
          <w:p w14:paraId="5CE8060D" w14:textId="77777777" w:rsidR="00853FF7" w:rsidRPr="00853FF7" w:rsidRDefault="00853FF7" w:rsidP="00853FF7">
            <w:pPr>
              <w:widowControl/>
              <w:rPr>
                <w:rFonts w:ascii="Arial" w:hAnsi="Arial" w:cs="Arial"/>
                <w:color w:val="000000"/>
                <w:kern w:val="0"/>
                <w:sz w:val="20"/>
                <w:szCs w:val="20"/>
              </w:rPr>
            </w:pPr>
            <w:r w:rsidRPr="00853FF7">
              <w:rPr>
                <w:rFonts w:ascii="Arial" w:hAnsi="Arial" w:cs="Arial"/>
                <w:color w:val="000000"/>
                <w:kern w:val="0"/>
                <w:sz w:val="20"/>
                <w:szCs w:val="20"/>
              </w:rPr>
              <w:t>5 µl</w:t>
            </w:r>
          </w:p>
        </w:tc>
      </w:tr>
    </w:tbl>
    <w:p w14:paraId="385134A5" w14:textId="77777777" w:rsidR="007F7B06" w:rsidRDefault="007F7B06" w:rsidP="007F7B06">
      <w:pPr>
        <w:widowControl/>
        <w:jc w:val="left"/>
        <w:rPr>
          <w:rFonts w:ascii="Arial" w:hAnsi="Arial" w:cs="Arial" w:hint="eastAsia"/>
          <w:color w:val="212529"/>
          <w:kern w:val="0"/>
          <w:sz w:val="20"/>
          <w:szCs w:val="20"/>
        </w:rPr>
      </w:pPr>
    </w:p>
    <w:p w14:paraId="39FF2B85" w14:textId="1329B696" w:rsidR="00853FF7" w:rsidRDefault="00853FF7" w:rsidP="007F7B06">
      <w:pPr>
        <w:widowControl/>
        <w:jc w:val="left"/>
        <w:rPr>
          <w:rFonts w:ascii="Arial" w:hAnsi="Arial" w:cs="Arial"/>
          <w:color w:val="212529"/>
          <w:kern w:val="0"/>
          <w:sz w:val="20"/>
          <w:szCs w:val="20"/>
        </w:rPr>
      </w:pPr>
      <w:r w:rsidRPr="00853FF7">
        <w:rPr>
          <w:rFonts w:ascii="Arial" w:hAnsi="Arial" w:cs="Arial"/>
          <w:color w:val="212529"/>
          <w:kern w:val="0"/>
          <w:sz w:val="20"/>
          <w:szCs w:val="20"/>
        </w:rPr>
        <w:t>*Restriction Enzymes can be diluted using the recommended diluent buffer when smaller amounts are needed.</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 xml:space="preserve">** 10 µl </w:t>
      </w:r>
      <w:proofErr w:type="spellStart"/>
      <w:r w:rsidRPr="00853FF7">
        <w:rPr>
          <w:rFonts w:ascii="Arial" w:hAnsi="Arial" w:cs="Arial"/>
          <w:color w:val="212529"/>
          <w:kern w:val="0"/>
          <w:sz w:val="20"/>
          <w:szCs w:val="20"/>
        </w:rPr>
        <w:t>rxns</w:t>
      </w:r>
      <w:proofErr w:type="spellEnd"/>
      <w:r w:rsidRPr="00853FF7">
        <w:rPr>
          <w:rFonts w:ascii="Arial" w:hAnsi="Arial" w:cs="Arial"/>
          <w:color w:val="212529"/>
          <w:kern w:val="0"/>
          <w:sz w:val="20"/>
          <w:szCs w:val="20"/>
        </w:rPr>
        <w:t xml:space="preserve"> should not be incubated for longer than 1 hour to avoid evaporation.</w:t>
      </w:r>
    </w:p>
    <w:p w14:paraId="424E57CF" w14:textId="77777777" w:rsidR="007F7B06" w:rsidRPr="00853FF7" w:rsidRDefault="007F7B06" w:rsidP="007F7B06">
      <w:pPr>
        <w:widowControl/>
        <w:jc w:val="left"/>
        <w:rPr>
          <w:rFonts w:ascii="Arial" w:hAnsi="Arial" w:cs="Arial"/>
          <w:color w:val="212529"/>
          <w:kern w:val="0"/>
          <w:sz w:val="20"/>
          <w:szCs w:val="20"/>
        </w:rPr>
      </w:pPr>
    </w:p>
    <w:p w14:paraId="0D3556F9" w14:textId="77777777" w:rsidR="00853FF7" w:rsidRPr="00853FF7" w:rsidRDefault="00853FF7" w:rsidP="00853FF7">
      <w:pPr>
        <w:widowControl/>
        <w:spacing w:after="120" w:line="320" w:lineRule="atLeast"/>
        <w:jc w:val="left"/>
        <w:outlineLvl w:val="2"/>
        <w:rPr>
          <w:color w:val="212529"/>
          <w:kern w:val="0"/>
          <w:sz w:val="27"/>
          <w:szCs w:val="27"/>
        </w:rPr>
      </w:pPr>
      <w:r w:rsidRPr="00853FF7">
        <w:rPr>
          <w:color w:val="212529"/>
          <w:kern w:val="0"/>
          <w:sz w:val="27"/>
          <w:szCs w:val="27"/>
        </w:rPr>
        <w:t>Incubation Time</w:t>
      </w:r>
    </w:p>
    <w:p w14:paraId="6E63D395" w14:textId="22C4DFF6" w:rsidR="00853FF7" w:rsidRPr="00853FF7" w:rsidRDefault="00853FF7" w:rsidP="007F7B06">
      <w:pPr>
        <w:widowControl/>
        <w:spacing w:after="120"/>
        <w:rPr>
          <w:rFonts w:ascii="Arial" w:hAnsi="Arial" w:cs="Arial"/>
          <w:color w:val="212529"/>
          <w:kern w:val="0"/>
          <w:sz w:val="20"/>
          <w:szCs w:val="20"/>
        </w:rPr>
      </w:pPr>
      <w:r w:rsidRPr="00853FF7">
        <w:rPr>
          <w:rFonts w:ascii="Arial" w:hAnsi="Arial" w:cs="Arial"/>
          <w:color w:val="212529"/>
          <w:kern w:val="0"/>
          <w:sz w:val="20"/>
          <w:szCs w:val="20"/>
        </w:rPr>
        <w:t>Incubation time is typically 1 hour</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Can often be decreased by using an excess of enzyme, or by using one of our </w:t>
      </w:r>
      <w:hyperlink r:id="rId5" w:tgtFrame="_blank" w:history="1">
        <w:r w:rsidRPr="00853FF7">
          <w:rPr>
            <w:rFonts w:ascii="Arial" w:hAnsi="Arial" w:cs="Arial"/>
            <w:color w:val="CA4A05"/>
            <w:kern w:val="0"/>
            <w:sz w:val="20"/>
            <w:szCs w:val="20"/>
            <w:u w:val="single"/>
          </w:rPr>
          <w:t>Time-Saver Qualified enzymes</w:t>
        </w:r>
      </w:hyperlink>
      <w:r w:rsidRPr="00853FF7">
        <w:rPr>
          <w:rFonts w:ascii="Arial" w:hAnsi="Arial" w:cs="Arial"/>
          <w:color w:val="212529"/>
          <w:kern w:val="0"/>
          <w:sz w:val="20"/>
          <w:szCs w:val="20"/>
        </w:rPr>
        <w:t>.</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It is possible, with many enzymes, to use fewer units and digest for up to 16 hours. For more information, visit </w:t>
      </w:r>
      <w:hyperlink r:id="rId6" w:tgtFrame="_blank" w:history="1">
        <w:r w:rsidRPr="00853FF7">
          <w:rPr>
            <w:rFonts w:ascii="Arial" w:hAnsi="Arial" w:cs="Arial"/>
            <w:color w:val="CA4A05"/>
            <w:kern w:val="0"/>
            <w:sz w:val="20"/>
            <w:szCs w:val="20"/>
            <w:u w:val="single"/>
          </w:rPr>
          <w:t>Extended Digests with Restriction Endonucleases</w:t>
        </w:r>
      </w:hyperlink>
      <w:r w:rsidRPr="00853FF7">
        <w:rPr>
          <w:rFonts w:ascii="Arial" w:hAnsi="Arial" w:cs="Arial"/>
          <w:color w:val="212529"/>
          <w:kern w:val="0"/>
          <w:sz w:val="20"/>
          <w:szCs w:val="20"/>
        </w:rPr>
        <w:t>.</w:t>
      </w:r>
    </w:p>
    <w:p w14:paraId="06B8E6A8" w14:textId="77777777" w:rsidR="00853FF7" w:rsidRPr="00853FF7" w:rsidRDefault="00853FF7" w:rsidP="00853FF7">
      <w:pPr>
        <w:widowControl/>
        <w:spacing w:after="120" w:line="320" w:lineRule="atLeast"/>
        <w:jc w:val="left"/>
        <w:outlineLvl w:val="2"/>
        <w:rPr>
          <w:color w:val="212529"/>
          <w:kern w:val="0"/>
          <w:sz w:val="27"/>
          <w:szCs w:val="27"/>
        </w:rPr>
      </w:pPr>
      <w:r w:rsidRPr="00853FF7">
        <w:rPr>
          <w:color w:val="212529"/>
          <w:kern w:val="0"/>
          <w:sz w:val="27"/>
          <w:szCs w:val="27"/>
        </w:rPr>
        <w:t>Stopping a Reaction</w:t>
      </w:r>
    </w:p>
    <w:p w14:paraId="2CE5779E" w14:textId="0723E4B2" w:rsidR="00853FF7" w:rsidRPr="00853FF7" w:rsidRDefault="00853FF7" w:rsidP="007F7B06">
      <w:pPr>
        <w:widowControl/>
        <w:spacing w:before="100" w:beforeAutospacing="1" w:after="100" w:afterAutospacing="1"/>
        <w:jc w:val="left"/>
        <w:rPr>
          <w:rFonts w:ascii="Arial" w:hAnsi="Arial" w:cs="Arial"/>
          <w:color w:val="212529"/>
          <w:kern w:val="0"/>
          <w:sz w:val="20"/>
          <w:szCs w:val="20"/>
        </w:rPr>
      </w:pPr>
      <w:r w:rsidRPr="00853FF7">
        <w:rPr>
          <w:rFonts w:ascii="Arial" w:hAnsi="Arial" w:cs="Arial"/>
          <w:color w:val="212529"/>
          <w:kern w:val="0"/>
          <w:sz w:val="20"/>
          <w:szCs w:val="20"/>
        </w:rPr>
        <w:t>If no further manipulation of DNA is required</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 xml:space="preserve">Terminate with a stop solution (10 µl per 50 µl </w:t>
      </w:r>
      <w:proofErr w:type="spellStart"/>
      <w:r w:rsidRPr="00853FF7">
        <w:rPr>
          <w:rFonts w:ascii="Arial" w:hAnsi="Arial" w:cs="Arial"/>
          <w:color w:val="212529"/>
          <w:kern w:val="0"/>
          <w:sz w:val="20"/>
          <w:szCs w:val="20"/>
        </w:rPr>
        <w:t>rxn</w:t>
      </w:r>
      <w:proofErr w:type="spellEnd"/>
      <w:r w:rsidRPr="00853FF7">
        <w:rPr>
          <w:rFonts w:ascii="Arial" w:hAnsi="Arial" w:cs="Arial"/>
          <w:color w:val="212529"/>
          <w:kern w:val="0"/>
          <w:sz w:val="20"/>
          <w:szCs w:val="20"/>
        </w:rPr>
        <w:t xml:space="preserve">) [1x: 2.5% </w:t>
      </w:r>
      <w:proofErr w:type="spellStart"/>
      <w:r w:rsidRPr="00853FF7">
        <w:rPr>
          <w:rFonts w:ascii="Arial" w:hAnsi="Arial" w:cs="Arial"/>
          <w:color w:val="212529"/>
          <w:kern w:val="0"/>
          <w:sz w:val="20"/>
          <w:szCs w:val="20"/>
        </w:rPr>
        <w:t>Ficoll</w:t>
      </w:r>
      <w:proofErr w:type="spellEnd"/>
      <w:r w:rsidRPr="00853FF7">
        <w:rPr>
          <w:rFonts w:ascii="Arial" w:hAnsi="Arial" w:cs="Arial"/>
          <w:color w:val="212529"/>
          <w:kern w:val="0"/>
          <w:sz w:val="20"/>
          <w:szCs w:val="20"/>
        </w:rPr>
        <w:t>®-400, 10mM EDTA, 3.3mM Tris-</w:t>
      </w:r>
      <w:proofErr w:type="spellStart"/>
      <w:r w:rsidRPr="00853FF7">
        <w:rPr>
          <w:rFonts w:ascii="Arial" w:hAnsi="Arial" w:cs="Arial"/>
          <w:color w:val="212529"/>
          <w:kern w:val="0"/>
          <w:sz w:val="20"/>
          <w:szCs w:val="20"/>
        </w:rPr>
        <w:t>Hcl</w:t>
      </w:r>
      <w:proofErr w:type="spellEnd"/>
      <w:r w:rsidRPr="00853FF7">
        <w:rPr>
          <w:rFonts w:ascii="Arial" w:hAnsi="Arial" w:cs="Arial"/>
          <w:color w:val="212529"/>
          <w:kern w:val="0"/>
          <w:sz w:val="20"/>
          <w:szCs w:val="20"/>
        </w:rPr>
        <w:t>, 0.08% SDS, 0.02% Dye 1, 0.001% Dye 2, pH 8.0@25°C] (e.g., NEB </w:t>
      </w:r>
      <w:hyperlink r:id="rId7" w:tgtFrame="_blank" w:history="1">
        <w:r w:rsidRPr="00853FF7">
          <w:rPr>
            <w:rFonts w:ascii="Arial" w:hAnsi="Arial" w:cs="Arial"/>
            <w:color w:val="CA4A05"/>
            <w:kern w:val="0"/>
            <w:sz w:val="20"/>
            <w:szCs w:val="20"/>
            <w:u w:val="single"/>
          </w:rPr>
          <w:t>#B7024</w:t>
        </w:r>
      </w:hyperlink>
      <w:r w:rsidRPr="00853FF7">
        <w:rPr>
          <w:rFonts w:ascii="Arial" w:hAnsi="Arial" w:cs="Arial"/>
          <w:color w:val="212529"/>
          <w:kern w:val="0"/>
          <w:sz w:val="20"/>
          <w:szCs w:val="20"/>
        </w:rPr>
        <w:t> )</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When further manipulation of DNA is required:</w:t>
      </w:r>
      <w:r w:rsidR="007F7B06">
        <w:rPr>
          <w:rFonts w:ascii="Arial" w:hAnsi="Arial" w:cs="Arial" w:hint="eastAsia"/>
          <w:color w:val="212529"/>
          <w:kern w:val="0"/>
          <w:sz w:val="20"/>
          <w:szCs w:val="20"/>
        </w:rPr>
        <w:t xml:space="preserve"> </w:t>
      </w:r>
      <w:r w:rsidRPr="00853FF7">
        <w:rPr>
          <w:rFonts w:ascii="Arial" w:hAnsi="Arial" w:cs="Arial"/>
          <w:color w:val="CA4A05"/>
          <w:kern w:val="0"/>
          <w:sz w:val="20"/>
          <w:szCs w:val="20"/>
          <w:u w:val="single"/>
        </w:rPr>
        <w:t>Heat inactivation</w:t>
      </w:r>
      <w:r w:rsidRPr="00853FF7">
        <w:rPr>
          <w:rFonts w:ascii="Arial" w:hAnsi="Arial" w:cs="Arial"/>
          <w:color w:val="212529"/>
          <w:kern w:val="0"/>
          <w:sz w:val="20"/>
          <w:szCs w:val="20"/>
        </w:rPr>
        <w:t> can be used</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Remove enzyme by using a spin column (</w:t>
      </w:r>
      <w:r w:rsidRPr="00853FF7">
        <w:rPr>
          <w:rFonts w:ascii="Arial" w:hAnsi="Arial" w:cs="Arial"/>
          <w:color w:val="CA4A05"/>
          <w:kern w:val="0"/>
          <w:sz w:val="20"/>
          <w:szCs w:val="20"/>
          <w:u w:val="single"/>
        </w:rPr>
        <w:t>NEB #T1030</w:t>
      </w:r>
      <w:r w:rsidRPr="00853FF7">
        <w:rPr>
          <w:rFonts w:ascii="Arial" w:hAnsi="Arial" w:cs="Arial"/>
          <w:color w:val="212529"/>
          <w:kern w:val="0"/>
          <w:sz w:val="20"/>
          <w:szCs w:val="20"/>
        </w:rPr>
        <w:t>) or phenol/chloroform extraction</w:t>
      </w:r>
    </w:p>
    <w:p w14:paraId="7A2AA610" w14:textId="77777777" w:rsidR="00853FF7" w:rsidRPr="00853FF7" w:rsidRDefault="00853FF7" w:rsidP="00853FF7">
      <w:pPr>
        <w:widowControl/>
        <w:spacing w:after="120" w:line="320" w:lineRule="atLeast"/>
        <w:jc w:val="left"/>
        <w:outlineLvl w:val="2"/>
        <w:rPr>
          <w:color w:val="212529"/>
          <w:kern w:val="0"/>
          <w:sz w:val="27"/>
          <w:szCs w:val="27"/>
        </w:rPr>
      </w:pPr>
      <w:r w:rsidRPr="00853FF7">
        <w:rPr>
          <w:color w:val="212529"/>
          <w:kern w:val="0"/>
          <w:sz w:val="27"/>
          <w:szCs w:val="27"/>
        </w:rPr>
        <w:t>Storage</w:t>
      </w:r>
    </w:p>
    <w:p w14:paraId="77E59107" w14:textId="09136461" w:rsidR="00853FF7" w:rsidRPr="00853FF7" w:rsidRDefault="00853FF7" w:rsidP="007F7B06">
      <w:pPr>
        <w:widowControl/>
        <w:spacing w:after="120"/>
        <w:jc w:val="left"/>
        <w:rPr>
          <w:rFonts w:ascii="Arial" w:hAnsi="Arial" w:cs="Arial"/>
          <w:color w:val="212529"/>
          <w:kern w:val="0"/>
          <w:sz w:val="20"/>
          <w:szCs w:val="20"/>
        </w:rPr>
      </w:pPr>
      <w:r w:rsidRPr="00853FF7">
        <w:rPr>
          <w:rFonts w:ascii="Arial" w:hAnsi="Arial" w:cs="Arial"/>
          <w:color w:val="212529"/>
          <w:kern w:val="0"/>
          <w:sz w:val="20"/>
          <w:szCs w:val="20"/>
        </w:rPr>
        <w:t>Storage at -20°C is recommended for most restriction enzymes. For a few enzymes, storage at -80°C is recommended for periods longer than 30 days. Please refer to the enzyme's technical data sheet or catalog entry for storage information.</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 xml:space="preserve">10X </w:t>
      </w:r>
      <w:proofErr w:type="spellStart"/>
      <w:r w:rsidRPr="00853FF7">
        <w:rPr>
          <w:rFonts w:ascii="Arial" w:hAnsi="Arial" w:cs="Arial"/>
          <w:color w:val="212529"/>
          <w:kern w:val="0"/>
          <w:sz w:val="20"/>
          <w:szCs w:val="20"/>
        </w:rPr>
        <w:t>NEBuffers</w:t>
      </w:r>
      <w:proofErr w:type="spellEnd"/>
      <w:r w:rsidRPr="00853FF7">
        <w:rPr>
          <w:rFonts w:ascii="Arial" w:hAnsi="Arial" w:cs="Arial"/>
          <w:color w:val="212529"/>
          <w:kern w:val="0"/>
          <w:sz w:val="20"/>
          <w:szCs w:val="20"/>
        </w:rPr>
        <w:t xml:space="preserve"> should also be stored at -20°C</w:t>
      </w:r>
    </w:p>
    <w:p w14:paraId="3CF9A24B" w14:textId="47FEA039" w:rsidR="00853FF7" w:rsidRPr="00853FF7" w:rsidRDefault="00853FF7" w:rsidP="00853FF7">
      <w:pPr>
        <w:widowControl/>
        <w:spacing w:after="120" w:line="320" w:lineRule="atLeast"/>
        <w:jc w:val="left"/>
        <w:outlineLvl w:val="2"/>
        <w:rPr>
          <w:color w:val="212529"/>
          <w:kern w:val="0"/>
          <w:sz w:val="27"/>
          <w:szCs w:val="27"/>
        </w:rPr>
      </w:pPr>
      <w:r w:rsidRPr="00853FF7">
        <w:rPr>
          <w:color w:val="212529"/>
          <w:kern w:val="0"/>
          <w:sz w:val="27"/>
          <w:szCs w:val="27"/>
        </w:rPr>
        <w:t>Stability</w:t>
      </w:r>
      <w:r w:rsidR="007F7B06">
        <w:rPr>
          <w:color w:val="212529"/>
          <w:kern w:val="0"/>
          <w:sz w:val="27"/>
          <w:szCs w:val="27"/>
        </w:rPr>
        <w:t xml:space="preserve"> </w:t>
      </w:r>
    </w:p>
    <w:p w14:paraId="1078AECE" w14:textId="0403E6EE" w:rsidR="00853FF7" w:rsidRPr="00853FF7" w:rsidRDefault="00853FF7" w:rsidP="007F7B06">
      <w:pPr>
        <w:widowControl/>
        <w:spacing w:after="120"/>
        <w:jc w:val="left"/>
        <w:rPr>
          <w:rFonts w:ascii="Arial" w:hAnsi="Arial" w:cs="Arial"/>
          <w:color w:val="212529"/>
          <w:kern w:val="0"/>
          <w:sz w:val="20"/>
          <w:szCs w:val="20"/>
        </w:rPr>
      </w:pPr>
      <w:r w:rsidRPr="00853FF7">
        <w:rPr>
          <w:rFonts w:ascii="Arial" w:hAnsi="Arial" w:cs="Arial"/>
          <w:color w:val="212529"/>
          <w:kern w:val="0"/>
          <w:sz w:val="20"/>
          <w:szCs w:val="20"/>
        </w:rPr>
        <w:t>All enzymes are assayed for activity every 4 months. The expiration date is found on the label.</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Exposure to temperatures above -20°C should be minimized whenever possible</w:t>
      </w:r>
    </w:p>
    <w:p w14:paraId="00D6D8A6" w14:textId="77777777" w:rsidR="00853FF7" w:rsidRPr="00853FF7" w:rsidRDefault="00853FF7" w:rsidP="00853FF7">
      <w:pPr>
        <w:widowControl/>
        <w:spacing w:after="120" w:line="320" w:lineRule="atLeast"/>
        <w:jc w:val="left"/>
        <w:outlineLvl w:val="2"/>
        <w:rPr>
          <w:color w:val="212529"/>
          <w:kern w:val="0"/>
          <w:sz w:val="27"/>
          <w:szCs w:val="27"/>
        </w:rPr>
      </w:pPr>
      <w:r w:rsidRPr="00853FF7">
        <w:rPr>
          <w:color w:val="212529"/>
          <w:kern w:val="0"/>
          <w:sz w:val="27"/>
          <w:szCs w:val="27"/>
        </w:rPr>
        <w:t>Control Reactions</w:t>
      </w:r>
    </w:p>
    <w:p w14:paraId="54606C0E" w14:textId="77777777" w:rsidR="007F7B06" w:rsidRDefault="00853FF7" w:rsidP="007F7B06">
      <w:pPr>
        <w:widowControl/>
        <w:spacing w:before="100" w:beforeAutospacing="1" w:after="100" w:afterAutospacing="1"/>
        <w:jc w:val="left"/>
        <w:rPr>
          <w:rFonts w:ascii="Arial" w:hAnsi="Arial" w:cs="Arial"/>
          <w:color w:val="212529"/>
          <w:kern w:val="0"/>
          <w:sz w:val="20"/>
          <w:szCs w:val="20"/>
        </w:rPr>
      </w:pPr>
      <w:r w:rsidRPr="00853FF7">
        <w:rPr>
          <w:rFonts w:ascii="Arial" w:hAnsi="Arial" w:cs="Arial"/>
          <w:color w:val="212529"/>
          <w:kern w:val="0"/>
          <w:sz w:val="20"/>
          <w:szCs w:val="20"/>
        </w:rPr>
        <w:t>If you are having difficulty cleaving your DNA substrate, we recommend the following control reactions:</w:t>
      </w:r>
    </w:p>
    <w:p w14:paraId="4FC9FCD4" w14:textId="2AFAFFAB" w:rsidR="00853FF7" w:rsidRPr="00853FF7" w:rsidRDefault="00853FF7" w:rsidP="007F7B06">
      <w:pPr>
        <w:widowControl/>
        <w:spacing w:before="100" w:beforeAutospacing="1" w:after="100" w:afterAutospacing="1"/>
        <w:jc w:val="left"/>
        <w:rPr>
          <w:rFonts w:ascii="Arial" w:hAnsi="Arial" w:cs="Arial"/>
          <w:color w:val="212529"/>
          <w:kern w:val="0"/>
          <w:sz w:val="20"/>
          <w:szCs w:val="20"/>
        </w:rPr>
      </w:pPr>
      <w:r w:rsidRPr="00853FF7">
        <w:rPr>
          <w:rFonts w:ascii="Arial" w:hAnsi="Arial" w:cs="Arial"/>
          <w:color w:val="212529"/>
          <w:kern w:val="0"/>
          <w:sz w:val="20"/>
          <w:szCs w:val="20"/>
        </w:rPr>
        <w:t xml:space="preserve">Control DNA (DNA with multiple known sites for the enzyme, </w:t>
      </w:r>
      <w:proofErr w:type="gramStart"/>
      <w:r w:rsidRPr="00853FF7">
        <w:rPr>
          <w:rFonts w:ascii="Arial" w:hAnsi="Arial" w:cs="Arial"/>
          <w:color w:val="212529"/>
          <w:kern w:val="0"/>
          <w:sz w:val="20"/>
          <w:szCs w:val="20"/>
        </w:rPr>
        <w:t>e.g.</w:t>
      </w:r>
      <w:proofErr w:type="gramEnd"/>
      <w:r w:rsidRPr="00853FF7">
        <w:rPr>
          <w:rFonts w:ascii="Arial" w:hAnsi="Arial" w:cs="Arial"/>
          <w:color w:val="212529"/>
          <w:kern w:val="0"/>
          <w:sz w:val="20"/>
          <w:szCs w:val="20"/>
        </w:rPr>
        <w:t xml:space="preserve"> lambda or adenovirus-2 DNA) with restriction enzyme to test enzyme viability</w:t>
      </w:r>
      <w:r w:rsidR="007F7B06">
        <w:rPr>
          <w:rFonts w:ascii="Arial" w:hAnsi="Arial" w:cs="Arial"/>
          <w:color w:val="212529"/>
          <w:kern w:val="0"/>
          <w:sz w:val="20"/>
          <w:szCs w:val="20"/>
        </w:rPr>
        <w:t xml:space="preserve">. </w:t>
      </w:r>
      <w:r w:rsidRPr="00853FF7">
        <w:rPr>
          <w:rFonts w:ascii="Arial" w:hAnsi="Arial" w:cs="Arial"/>
          <w:color w:val="212529"/>
          <w:kern w:val="0"/>
          <w:sz w:val="20"/>
          <w:szCs w:val="20"/>
        </w:rPr>
        <w:t>If the control DNA is cleaved and the experimental DNA resists cleavage, the two DNAs can be mixed to determine if an inhibitor is present in the experimental sample. If an inhibitor (often salt, EDTA or phenol) is present, the control DNA will not cut after mixing.</w:t>
      </w:r>
    </w:p>
    <w:p w14:paraId="1E57BB53" w14:textId="77777777" w:rsidR="00DC77E5" w:rsidRDefault="00DC77E5"/>
    <w:sectPr w:rsidR="00DC77E5" w:rsidSect="007F7B06">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8F2"/>
    <w:multiLevelType w:val="multilevel"/>
    <w:tmpl w:val="CF7C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30356"/>
    <w:multiLevelType w:val="multilevel"/>
    <w:tmpl w:val="3D8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95481"/>
    <w:multiLevelType w:val="multilevel"/>
    <w:tmpl w:val="4C8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1057A"/>
    <w:multiLevelType w:val="multilevel"/>
    <w:tmpl w:val="807C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B4167"/>
    <w:multiLevelType w:val="multilevel"/>
    <w:tmpl w:val="77BC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151DF"/>
    <w:multiLevelType w:val="multilevel"/>
    <w:tmpl w:val="18A2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354E0"/>
    <w:multiLevelType w:val="multilevel"/>
    <w:tmpl w:val="ADC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92E37"/>
    <w:multiLevelType w:val="multilevel"/>
    <w:tmpl w:val="62EA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0462D"/>
    <w:multiLevelType w:val="multilevel"/>
    <w:tmpl w:val="FFA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511B6"/>
    <w:multiLevelType w:val="multilevel"/>
    <w:tmpl w:val="51F8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07E82"/>
    <w:multiLevelType w:val="multilevel"/>
    <w:tmpl w:val="1278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087226"/>
    <w:multiLevelType w:val="multilevel"/>
    <w:tmpl w:val="BBE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5"/>
  </w:num>
  <w:num w:numId="4">
    <w:abstractNumId w:val="8"/>
  </w:num>
  <w:num w:numId="5">
    <w:abstractNumId w:val="0"/>
  </w:num>
  <w:num w:numId="6">
    <w:abstractNumId w:val="6"/>
  </w:num>
  <w:num w:numId="7">
    <w:abstractNumId w:val="4"/>
  </w:num>
  <w:num w:numId="8">
    <w:abstractNumId w:val="1"/>
  </w:num>
  <w:num w:numId="9">
    <w:abstractNumId w:val="2"/>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F7"/>
    <w:rsid w:val="00002DF7"/>
    <w:rsid w:val="0000340C"/>
    <w:rsid w:val="000123EA"/>
    <w:rsid w:val="00013118"/>
    <w:rsid w:val="000137A1"/>
    <w:rsid w:val="00014AA3"/>
    <w:rsid w:val="000230F7"/>
    <w:rsid w:val="00026EA2"/>
    <w:rsid w:val="00032E46"/>
    <w:rsid w:val="0003673B"/>
    <w:rsid w:val="00036F83"/>
    <w:rsid w:val="00040325"/>
    <w:rsid w:val="00040766"/>
    <w:rsid w:val="0004160C"/>
    <w:rsid w:val="0004171C"/>
    <w:rsid w:val="0004296A"/>
    <w:rsid w:val="000448B6"/>
    <w:rsid w:val="000512D6"/>
    <w:rsid w:val="000534BD"/>
    <w:rsid w:val="00055E8C"/>
    <w:rsid w:val="0006319C"/>
    <w:rsid w:val="00063FDB"/>
    <w:rsid w:val="0007567D"/>
    <w:rsid w:val="000756B7"/>
    <w:rsid w:val="00077AFE"/>
    <w:rsid w:val="000801FB"/>
    <w:rsid w:val="00082DAD"/>
    <w:rsid w:val="00084F46"/>
    <w:rsid w:val="00087452"/>
    <w:rsid w:val="00094CCD"/>
    <w:rsid w:val="0009611E"/>
    <w:rsid w:val="000A0286"/>
    <w:rsid w:val="000A1397"/>
    <w:rsid w:val="000B089E"/>
    <w:rsid w:val="000B7480"/>
    <w:rsid w:val="000C6EAC"/>
    <w:rsid w:val="000C6F71"/>
    <w:rsid w:val="000D1389"/>
    <w:rsid w:val="000D6129"/>
    <w:rsid w:val="000E2831"/>
    <w:rsid w:val="000E3483"/>
    <w:rsid w:val="000F69F4"/>
    <w:rsid w:val="00101F82"/>
    <w:rsid w:val="00104BC0"/>
    <w:rsid w:val="00105B84"/>
    <w:rsid w:val="0011763A"/>
    <w:rsid w:val="00123EE3"/>
    <w:rsid w:val="00135609"/>
    <w:rsid w:val="00140E74"/>
    <w:rsid w:val="001426F0"/>
    <w:rsid w:val="00150B58"/>
    <w:rsid w:val="00151797"/>
    <w:rsid w:val="00152691"/>
    <w:rsid w:val="00157A29"/>
    <w:rsid w:val="00157D57"/>
    <w:rsid w:val="00160F13"/>
    <w:rsid w:val="001625B0"/>
    <w:rsid w:val="00163CE3"/>
    <w:rsid w:val="00165E75"/>
    <w:rsid w:val="00165EC4"/>
    <w:rsid w:val="00167BC9"/>
    <w:rsid w:val="00172548"/>
    <w:rsid w:val="00173F45"/>
    <w:rsid w:val="00174A7B"/>
    <w:rsid w:val="001771C2"/>
    <w:rsid w:val="00177FD6"/>
    <w:rsid w:val="00186F26"/>
    <w:rsid w:val="00187998"/>
    <w:rsid w:val="0019173A"/>
    <w:rsid w:val="00191F9A"/>
    <w:rsid w:val="00194227"/>
    <w:rsid w:val="00194BD6"/>
    <w:rsid w:val="001A4BAD"/>
    <w:rsid w:val="001A4DD1"/>
    <w:rsid w:val="001B1D12"/>
    <w:rsid w:val="001B6C67"/>
    <w:rsid w:val="001B6E05"/>
    <w:rsid w:val="001B79B6"/>
    <w:rsid w:val="001C02DB"/>
    <w:rsid w:val="001C11E6"/>
    <w:rsid w:val="001C325D"/>
    <w:rsid w:val="001C704C"/>
    <w:rsid w:val="001D3BFC"/>
    <w:rsid w:val="001D66E1"/>
    <w:rsid w:val="001E3DF2"/>
    <w:rsid w:val="001E56DA"/>
    <w:rsid w:val="001E6DDA"/>
    <w:rsid w:val="001E7F8F"/>
    <w:rsid w:val="001F22F7"/>
    <w:rsid w:val="001F3A49"/>
    <w:rsid w:val="001F4939"/>
    <w:rsid w:val="00200F1D"/>
    <w:rsid w:val="00201AF5"/>
    <w:rsid w:val="00202DBE"/>
    <w:rsid w:val="00203A4F"/>
    <w:rsid w:val="00206137"/>
    <w:rsid w:val="0020717F"/>
    <w:rsid w:val="00210713"/>
    <w:rsid w:val="00212B73"/>
    <w:rsid w:val="00214D5A"/>
    <w:rsid w:val="00215554"/>
    <w:rsid w:val="00215EEF"/>
    <w:rsid w:val="002204A7"/>
    <w:rsid w:val="0022443F"/>
    <w:rsid w:val="00224834"/>
    <w:rsid w:val="00225FE1"/>
    <w:rsid w:val="002301A9"/>
    <w:rsid w:val="002332EC"/>
    <w:rsid w:val="00234D6B"/>
    <w:rsid w:val="00240837"/>
    <w:rsid w:val="00241C91"/>
    <w:rsid w:val="002512F6"/>
    <w:rsid w:val="0025217E"/>
    <w:rsid w:val="00252435"/>
    <w:rsid w:val="002601B4"/>
    <w:rsid w:val="00260CFA"/>
    <w:rsid w:val="00263880"/>
    <w:rsid w:val="00263D48"/>
    <w:rsid w:val="00265CBC"/>
    <w:rsid w:val="00267024"/>
    <w:rsid w:val="00274815"/>
    <w:rsid w:val="00275357"/>
    <w:rsid w:val="00275C3C"/>
    <w:rsid w:val="00286D26"/>
    <w:rsid w:val="00291818"/>
    <w:rsid w:val="00294D34"/>
    <w:rsid w:val="00297368"/>
    <w:rsid w:val="002A23AD"/>
    <w:rsid w:val="002A32B8"/>
    <w:rsid w:val="002A50F2"/>
    <w:rsid w:val="002B153E"/>
    <w:rsid w:val="002B2CC4"/>
    <w:rsid w:val="002B6041"/>
    <w:rsid w:val="002B76E0"/>
    <w:rsid w:val="002C7642"/>
    <w:rsid w:val="002D0132"/>
    <w:rsid w:val="002E038C"/>
    <w:rsid w:val="002E139A"/>
    <w:rsid w:val="002F0F4E"/>
    <w:rsid w:val="002F5657"/>
    <w:rsid w:val="003110A1"/>
    <w:rsid w:val="00312B41"/>
    <w:rsid w:val="00314C61"/>
    <w:rsid w:val="00330674"/>
    <w:rsid w:val="003306A3"/>
    <w:rsid w:val="003326D5"/>
    <w:rsid w:val="00335048"/>
    <w:rsid w:val="003357F9"/>
    <w:rsid w:val="0033668F"/>
    <w:rsid w:val="00336AE8"/>
    <w:rsid w:val="00343C4C"/>
    <w:rsid w:val="00344555"/>
    <w:rsid w:val="00344E60"/>
    <w:rsid w:val="0035436C"/>
    <w:rsid w:val="0036161B"/>
    <w:rsid w:val="00362AAE"/>
    <w:rsid w:val="0036486E"/>
    <w:rsid w:val="00365CA0"/>
    <w:rsid w:val="0036675B"/>
    <w:rsid w:val="00370C34"/>
    <w:rsid w:val="00373CD3"/>
    <w:rsid w:val="00375652"/>
    <w:rsid w:val="00381B3A"/>
    <w:rsid w:val="00382BD6"/>
    <w:rsid w:val="003874F4"/>
    <w:rsid w:val="00391D00"/>
    <w:rsid w:val="003A070A"/>
    <w:rsid w:val="003A1C26"/>
    <w:rsid w:val="003A5BEB"/>
    <w:rsid w:val="003A6EC6"/>
    <w:rsid w:val="003B27D3"/>
    <w:rsid w:val="003B6CA2"/>
    <w:rsid w:val="003C3B63"/>
    <w:rsid w:val="003C5080"/>
    <w:rsid w:val="003C558A"/>
    <w:rsid w:val="003C772C"/>
    <w:rsid w:val="003D003A"/>
    <w:rsid w:val="003D0101"/>
    <w:rsid w:val="003D050F"/>
    <w:rsid w:val="003D2D7D"/>
    <w:rsid w:val="003D5533"/>
    <w:rsid w:val="003D6D6F"/>
    <w:rsid w:val="003D70F6"/>
    <w:rsid w:val="003E256F"/>
    <w:rsid w:val="003E3B39"/>
    <w:rsid w:val="003E441B"/>
    <w:rsid w:val="003E57EB"/>
    <w:rsid w:val="003E5966"/>
    <w:rsid w:val="003F0DD4"/>
    <w:rsid w:val="003F174F"/>
    <w:rsid w:val="003F2C25"/>
    <w:rsid w:val="003F5D6D"/>
    <w:rsid w:val="003F6872"/>
    <w:rsid w:val="00404161"/>
    <w:rsid w:val="004043B7"/>
    <w:rsid w:val="00405A52"/>
    <w:rsid w:val="00410162"/>
    <w:rsid w:val="004107CF"/>
    <w:rsid w:val="00410FBE"/>
    <w:rsid w:val="004215F9"/>
    <w:rsid w:val="00421848"/>
    <w:rsid w:val="00426C3B"/>
    <w:rsid w:val="00426C68"/>
    <w:rsid w:val="00431F40"/>
    <w:rsid w:val="004334C0"/>
    <w:rsid w:val="004369DA"/>
    <w:rsid w:val="00444B9A"/>
    <w:rsid w:val="00445F4F"/>
    <w:rsid w:val="004475D6"/>
    <w:rsid w:val="00451A80"/>
    <w:rsid w:val="00453922"/>
    <w:rsid w:val="004579D5"/>
    <w:rsid w:val="004619C2"/>
    <w:rsid w:val="004660A1"/>
    <w:rsid w:val="0046728B"/>
    <w:rsid w:val="004714E7"/>
    <w:rsid w:val="0047673E"/>
    <w:rsid w:val="00480FEA"/>
    <w:rsid w:val="00483439"/>
    <w:rsid w:val="00486A80"/>
    <w:rsid w:val="00492A44"/>
    <w:rsid w:val="00494D8B"/>
    <w:rsid w:val="004A2EB4"/>
    <w:rsid w:val="004A7D09"/>
    <w:rsid w:val="004B03DA"/>
    <w:rsid w:val="004B062B"/>
    <w:rsid w:val="004B1ED9"/>
    <w:rsid w:val="004C117C"/>
    <w:rsid w:val="004C19DD"/>
    <w:rsid w:val="004D01C6"/>
    <w:rsid w:val="004D1926"/>
    <w:rsid w:val="004E1A3B"/>
    <w:rsid w:val="004E6E64"/>
    <w:rsid w:val="004F0B8F"/>
    <w:rsid w:val="004F39D4"/>
    <w:rsid w:val="00502F31"/>
    <w:rsid w:val="005071BD"/>
    <w:rsid w:val="00512B35"/>
    <w:rsid w:val="005170D7"/>
    <w:rsid w:val="00517B6E"/>
    <w:rsid w:val="0052408A"/>
    <w:rsid w:val="005251B9"/>
    <w:rsid w:val="00525DF6"/>
    <w:rsid w:val="005314A2"/>
    <w:rsid w:val="005351B8"/>
    <w:rsid w:val="00537093"/>
    <w:rsid w:val="00540696"/>
    <w:rsid w:val="00540BA1"/>
    <w:rsid w:val="00542518"/>
    <w:rsid w:val="005434CA"/>
    <w:rsid w:val="00544CC6"/>
    <w:rsid w:val="005556BA"/>
    <w:rsid w:val="0056409B"/>
    <w:rsid w:val="00564F76"/>
    <w:rsid w:val="005656B3"/>
    <w:rsid w:val="00567160"/>
    <w:rsid w:val="005679CB"/>
    <w:rsid w:val="00567D30"/>
    <w:rsid w:val="00572A78"/>
    <w:rsid w:val="00573391"/>
    <w:rsid w:val="005759D7"/>
    <w:rsid w:val="005875FB"/>
    <w:rsid w:val="005933A1"/>
    <w:rsid w:val="005955B4"/>
    <w:rsid w:val="00596129"/>
    <w:rsid w:val="005A53B2"/>
    <w:rsid w:val="005B0B79"/>
    <w:rsid w:val="005B203D"/>
    <w:rsid w:val="005B2230"/>
    <w:rsid w:val="005B29E3"/>
    <w:rsid w:val="005B52B4"/>
    <w:rsid w:val="005C62DE"/>
    <w:rsid w:val="005D0090"/>
    <w:rsid w:val="005D7F40"/>
    <w:rsid w:val="005E0314"/>
    <w:rsid w:val="005E088F"/>
    <w:rsid w:val="005E7083"/>
    <w:rsid w:val="005F3C7D"/>
    <w:rsid w:val="00602FD6"/>
    <w:rsid w:val="0060531D"/>
    <w:rsid w:val="0061328A"/>
    <w:rsid w:val="00614484"/>
    <w:rsid w:val="00615EC1"/>
    <w:rsid w:val="0062404C"/>
    <w:rsid w:val="00626067"/>
    <w:rsid w:val="006260B9"/>
    <w:rsid w:val="00631162"/>
    <w:rsid w:val="0063242B"/>
    <w:rsid w:val="0063331D"/>
    <w:rsid w:val="00633E66"/>
    <w:rsid w:val="006357E7"/>
    <w:rsid w:val="0064083C"/>
    <w:rsid w:val="00640ADB"/>
    <w:rsid w:val="00641D4E"/>
    <w:rsid w:val="006425F6"/>
    <w:rsid w:val="00642795"/>
    <w:rsid w:val="0064597D"/>
    <w:rsid w:val="0064739A"/>
    <w:rsid w:val="00661A2B"/>
    <w:rsid w:val="006652D9"/>
    <w:rsid w:val="00665D2A"/>
    <w:rsid w:val="00666453"/>
    <w:rsid w:val="00671F47"/>
    <w:rsid w:val="0067209C"/>
    <w:rsid w:val="006746D4"/>
    <w:rsid w:val="00675C3D"/>
    <w:rsid w:val="006808F3"/>
    <w:rsid w:val="00683F29"/>
    <w:rsid w:val="00693CE0"/>
    <w:rsid w:val="00696843"/>
    <w:rsid w:val="006968D3"/>
    <w:rsid w:val="006A3C95"/>
    <w:rsid w:val="006A7892"/>
    <w:rsid w:val="006B1092"/>
    <w:rsid w:val="006B1135"/>
    <w:rsid w:val="006B3103"/>
    <w:rsid w:val="006B3558"/>
    <w:rsid w:val="006C220E"/>
    <w:rsid w:val="006C429D"/>
    <w:rsid w:val="006C4D31"/>
    <w:rsid w:val="006C7283"/>
    <w:rsid w:val="006D2BD9"/>
    <w:rsid w:val="006E2AFB"/>
    <w:rsid w:val="006E5527"/>
    <w:rsid w:val="006E5CE3"/>
    <w:rsid w:val="006E7AB8"/>
    <w:rsid w:val="006F26C9"/>
    <w:rsid w:val="006F5958"/>
    <w:rsid w:val="00701468"/>
    <w:rsid w:val="00704EB6"/>
    <w:rsid w:val="00705651"/>
    <w:rsid w:val="00706463"/>
    <w:rsid w:val="0071280D"/>
    <w:rsid w:val="00715B8B"/>
    <w:rsid w:val="0072227E"/>
    <w:rsid w:val="00724D92"/>
    <w:rsid w:val="007309AE"/>
    <w:rsid w:val="00736F3F"/>
    <w:rsid w:val="00751586"/>
    <w:rsid w:val="00752D28"/>
    <w:rsid w:val="00753D62"/>
    <w:rsid w:val="00756381"/>
    <w:rsid w:val="007570FA"/>
    <w:rsid w:val="00757392"/>
    <w:rsid w:val="00761D80"/>
    <w:rsid w:val="00763CA3"/>
    <w:rsid w:val="00767AC7"/>
    <w:rsid w:val="007732F4"/>
    <w:rsid w:val="007750A6"/>
    <w:rsid w:val="00775DC2"/>
    <w:rsid w:val="007820A5"/>
    <w:rsid w:val="0078449E"/>
    <w:rsid w:val="0078564B"/>
    <w:rsid w:val="00787970"/>
    <w:rsid w:val="007938A1"/>
    <w:rsid w:val="00796C79"/>
    <w:rsid w:val="007A1D0D"/>
    <w:rsid w:val="007A6539"/>
    <w:rsid w:val="007A6550"/>
    <w:rsid w:val="007C22B8"/>
    <w:rsid w:val="007C2A45"/>
    <w:rsid w:val="007C5920"/>
    <w:rsid w:val="007D0C91"/>
    <w:rsid w:val="007D1D38"/>
    <w:rsid w:val="007D3FB9"/>
    <w:rsid w:val="007D5E9F"/>
    <w:rsid w:val="007D74DB"/>
    <w:rsid w:val="007D7630"/>
    <w:rsid w:val="007D7729"/>
    <w:rsid w:val="007E27F8"/>
    <w:rsid w:val="007E2E9F"/>
    <w:rsid w:val="007E642A"/>
    <w:rsid w:val="007F22FE"/>
    <w:rsid w:val="007F7B06"/>
    <w:rsid w:val="00800914"/>
    <w:rsid w:val="00802982"/>
    <w:rsid w:val="008115A3"/>
    <w:rsid w:val="00816937"/>
    <w:rsid w:val="008342C2"/>
    <w:rsid w:val="00835DD2"/>
    <w:rsid w:val="008368D8"/>
    <w:rsid w:val="008461CE"/>
    <w:rsid w:val="008532E2"/>
    <w:rsid w:val="00853FF7"/>
    <w:rsid w:val="0085613E"/>
    <w:rsid w:val="0085704D"/>
    <w:rsid w:val="008642D0"/>
    <w:rsid w:val="008746A3"/>
    <w:rsid w:val="00875A8A"/>
    <w:rsid w:val="0087737C"/>
    <w:rsid w:val="00881732"/>
    <w:rsid w:val="00883159"/>
    <w:rsid w:val="00893E22"/>
    <w:rsid w:val="008A1D9E"/>
    <w:rsid w:val="008A6FB9"/>
    <w:rsid w:val="008C1421"/>
    <w:rsid w:val="008C4124"/>
    <w:rsid w:val="008C6220"/>
    <w:rsid w:val="008C6768"/>
    <w:rsid w:val="008C7315"/>
    <w:rsid w:val="008D22B2"/>
    <w:rsid w:val="008D2AE0"/>
    <w:rsid w:val="008D6702"/>
    <w:rsid w:val="008E3FB4"/>
    <w:rsid w:val="008E4599"/>
    <w:rsid w:val="008E4DB7"/>
    <w:rsid w:val="008E5EA8"/>
    <w:rsid w:val="008E6477"/>
    <w:rsid w:val="008F2606"/>
    <w:rsid w:val="008F4407"/>
    <w:rsid w:val="008F548F"/>
    <w:rsid w:val="009021E1"/>
    <w:rsid w:val="009031EF"/>
    <w:rsid w:val="00907478"/>
    <w:rsid w:val="00907EEF"/>
    <w:rsid w:val="00910CEF"/>
    <w:rsid w:val="00911D35"/>
    <w:rsid w:val="0091691F"/>
    <w:rsid w:val="00917178"/>
    <w:rsid w:val="0092155E"/>
    <w:rsid w:val="00921C04"/>
    <w:rsid w:val="009252D9"/>
    <w:rsid w:val="009256DC"/>
    <w:rsid w:val="00932F46"/>
    <w:rsid w:val="009330B6"/>
    <w:rsid w:val="00933D4E"/>
    <w:rsid w:val="0093558F"/>
    <w:rsid w:val="009362FA"/>
    <w:rsid w:val="00941271"/>
    <w:rsid w:val="00941342"/>
    <w:rsid w:val="009419A2"/>
    <w:rsid w:val="00943AA0"/>
    <w:rsid w:val="0094695D"/>
    <w:rsid w:val="00947365"/>
    <w:rsid w:val="009551DF"/>
    <w:rsid w:val="00962F45"/>
    <w:rsid w:val="00963CEF"/>
    <w:rsid w:val="00964015"/>
    <w:rsid w:val="00964059"/>
    <w:rsid w:val="00964A58"/>
    <w:rsid w:val="00965C36"/>
    <w:rsid w:val="009713D5"/>
    <w:rsid w:val="00977823"/>
    <w:rsid w:val="0099031B"/>
    <w:rsid w:val="00990EA5"/>
    <w:rsid w:val="00991DA4"/>
    <w:rsid w:val="00993BA2"/>
    <w:rsid w:val="00994F4B"/>
    <w:rsid w:val="00997126"/>
    <w:rsid w:val="009A4B29"/>
    <w:rsid w:val="009A7089"/>
    <w:rsid w:val="009B0F03"/>
    <w:rsid w:val="009B35A8"/>
    <w:rsid w:val="009B7E52"/>
    <w:rsid w:val="009C3DC5"/>
    <w:rsid w:val="009C7BDB"/>
    <w:rsid w:val="009D0E0D"/>
    <w:rsid w:val="009D1042"/>
    <w:rsid w:val="009D204C"/>
    <w:rsid w:val="009D2E51"/>
    <w:rsid w:val="009D73F3"/>
    <w:rsid w:val="009E0226"/>
    <w:rsid w:val="009E0D1D"/>
    <w:rsid w:val="009E344C"/>
    <w:rsid w:val="009E61CE"/>
    <w:rsid w:val="009F0E2E"/>
    <w:rsid w:val="009F4376"/>
    <w:rsid w:val="00A002CB"/>
    <w:rsid w:val="00A020DC"/>
    <w:rsid w:val="00A13FDE"/>
    <w:rsid w:val="00A203F2"/>
    <w:rsid w:val="00A22F89"/>
    <w:rsid w:val="00A24756"/>
    <w:rsid w:val="00A33878"/>
    <w:rsid w:val="00A33F2D"/>
    <w:rsid w:val="00A41EAA"/>
    <w:rsid w:val="00A447D8"/>
    <w:rsid w:val="00A44CBD"/>
    <w:rsid w:val="00A44CF3"/>
    <w:rsid w:val="00A473C5"/>
    <w:rsid w:val="00A4755F"/>
    <w:rsid w:val="00A50D6F"/>
    <w:rsid w:val="00A53145"/>
    <w:rsid w:val="00A53FF8"/>
    <w:rsid w:val="00A54361"/>
    <w:rsid w:val="00A55CA9"/>
    <w:rsid w:val="00A6194B"/>
    <w:rsid w:val="00A62507"/>
    <w:rsid w:val="00A65302"/>
    <w:rsid w:val="00A66C2F"/>
    <w:rsid w:val="00A80980"/>
    <w:rsid w:val="00A82839"/>
    <w:rsid w:val="00A82999"/>
    <w:rsid w:val="00A82A03"/>
    <w:rsid w:val="00A82EB0"/>
    <w:rsid w:val="00A85DA2"/>
    <w:rsid w:val="00A93152"/>
    <w:rsid w:val="00A945C9"/>
    <w:rsid w:val="00AA183B"/>
    <w:rsid w:val="00AA24E7"/>
    <w:rsid w:val="00AA45B1"/>
    <w:rsid w:val="00AA51F0"/>
    <w:rsid w:val="00AA58ED"/>
    <w:rsid w:val="00AB0444"/>
    <w:rsid w:val="00AB41DF"/>
    <w:rsid w:val="00AC10A4"/>
    <w:rsid w:val="00AC6375"/>
    <w:rsid w:val="00AC7250"/>
    <w:rsid w:val="00AD2721"/>
    <w:rsid w:val="00AD741F"/>
    <w:rsid w:val="00AE171B"/>
    <w:rsid w:val="00AF0461"/>
    <w:rsid w:val="00AF4C82"/>
    <w:rsid w:val="00B02DD9"/>
    <w:rsid w:val="00B120DA"/>
    <w:rsid w:val="00B20DB8"/>
    <w:rsid w:val="00B21772"/>
    <w:rsid w:val="00B2227A"/>
    <w:rsid w:val="00B2270A"/>
    <w:rsid w:val="00B23A95"/>
    <w:rsid w:val="00B32C22"/>
    <w:rsid w:val="00B33E87"/>
    <w:rsid w:val="00B35C41"/>
    <w:rsid w:val="00B4107D"/>
    <w:rsid w:val="00B4165C"/>
    <w:rsid w:val="00B41B2F"/>
    <w:rsid w:val="00B41BE8"/>
    <w:rsid w:val="00B45F96"/>
    <w:rsid w:val="00B530F0"/>
    <w:rsid w:val="00B57C1B"/>
    <w:rsid w:val="00B60A52"/>
    <w:rsid w:val="00B63510"/>
    <w:rsid w:val="00B73D7D"/>
    <w:rsid w:val="00B80774"/>
    <w:rsid w:val="00B85D15"/>
    <w:rsid w:val="00B9699E"/>
    <w:rsid w:val="00B97056"/>
    <w:rsid w:val="00B9771C"/>
    <w:rsid w:val="00BA787D"/>
    <w:rsid w:val="00BA7AC4"/>
    <w:rsid w:val="00BB04AB"/>
    <w:rsid w:val="00BB10B0"/>
    <w:rsid w:val="00BB43EF"/>
    <w:rsid w:val="00BB7967"/>
    <w:rsid w:val="00BC5DB9"/>
    <w:rsid w:val="00BD0807"/>
    <w:rsid w:val="00BD3556"/>
    <w:rsid w:val="00BD5811"/>
    <w:rsid w:val="00BD6A25"/>
    <w:rsid w:val="00BD6F13"/>
    <w:rsid w:val="00BE2AA8"/>
    <w:rsid w:val="00BE4B55"/>
    <w:rsid w:val="00BF3210"/>
    <w:rsid w:val="00BF47DD"/>
    <w:rsid w:val="00BF5CDC"/>
    <w:rsid w:val="00BF5D48"/>
    <w:rsid w:val="00C10406"/>
    <w:rsid w:val="00C12B34"/>
    <w:rsid w:val="00C16D4B"/>
    <w:rsid w:val="00C21930"/>
    <w:rsid w:val="00C23549"/>
    <w:rsid w:val="00C31A38"/>
    <w:rsid w:val="00C341E8"/>
    <w:rsid w:val="00C344C9"/>
    <w:rsid w:val="00C430B5"/>
    <w:rsid w:val="00C509F6"/>
    <w:rsid w:val="00C5366E"/>
    <w:rsid w:val="00C55BF8"/>
    <w:rsid w:val="00C639CA"/>
    <w:rsid w:val="00C716DD"/>
    <w:rsid w:val="00C723C0"/>
    <w:rsid w:val="00C72ABA"/>
    <w:rsid w:val="00C75C20"/>
    <w:rsid w:val="00C771FD"/>
    <w:rsid w:val="00C8498C"/>
    <w:rsid w:val="00C8774D"/>
    <w:rsid w:val="00C87EBB"/>
    <w:rsid w:val="00C90F73"/>
    <w:rsid w:val="00C91A65"/>
    <w:rsid w:val="00C97020"/>
    <w:rsid w:val="00C97249"/>
    <w:rsid w:val="00C976EB"/>
    <w:rsid w:val="00CA34AF"/>
    <w:rsid w:val="00CA4EE1"/>
    <w:rsid w:val="00CA5FC7"/>
    <w:rsid w:val="00CB794D"/>
    <w:rsid w:val="00CC0221"/>
    <w:rsid w:val="00CC0873"/>
    <w:rsid w:val="00CC2600"/>
    <w:rsid w:val="00CC39B5"/>
    <w:rsid w:val="00CC4308"/>
    <w:rsid w:val="00CC4338"/>
    <w:rsid w:val="00CC482C"/>
    <w:rsid w:val="00CD27DC"/>
    <w:rsid w:val="00CD2EB5"/>
    <w:rsid w:val="00CD5905"/>
    <w:rsid w:val="00CD60D1"/>
    <w:rsid w:val="00CE24A4"/>
    <w:rsid w:val="00CF2A52"/>
    <w:rsid w:val="00CF3C6D"/>
    <w:rsid w:val="00D11126"/>
    <w:rsid w:val="00D16160"/>
    <w:rsid w:val="00D175B0"/>
    <w:rsid w:val="00D2195B"/>
    <w:rsid w:val="00D23CDC"/>
    <w:rsid w:val="00D24258"/>
    <w:rsid w:val="00D277B7"/>
    <w:rsid w:val="00D3131B"/>
    <w:rsid w:val="00D31401"/>
    <w:rsid w:val="00D31E6F"/>
    <w:rsid w:val="00D33A1E"/>
    <w:rsid w:val="00D33A2A"/>
    <w:rsid w:val="00D352AA"/>
    <w:rsid w:val="00D363CA"/>
    <w:rsid w:val="00D37310"/>
    <w:rsid w:val="00D37D19"/>
    <w:rsid w:val="00D445E7"/>
    <w:rsid w:val="00D51404"/>
    <w:rsid w:val="00D53F5E"/>
    <w:rsid w:val="00D60A46"/>
    <w:rsid w:val="00D659ED"/>
    <w:rsid w:val="00D6733F"/>
    <w:rsid w:val="00D712A0"/>
    <w:rsid w:val="00D75B9B"/>
    <w:rsid w:val="00D8087C"/>
    <w:rsid w:val="00D81E50"/>
    <w:rsid w:val="00D85502"/>
    <w:rsid w:val="00D862C7"/>
    <w:rsid w:val="00D86313"/>
    <w:rsid w:val="00D91F88"/>
    <w:rsid w:val="00D95615"/>
    <w:rsid w:val="00D97355"/>
    <w:rsid w:val="00DA3C32"/>
    <w:rsid w:val="00DA40D7"/>
    <w:rsid w:val="00DA65CA"/>
    <w:rsid w:val="00DB5E4C"/>
    <w:rsid w:val="00DB7170"/>
    <w:rsid w:val="00DC3CD8"/>
    <w:rsid w:val="00DC4EAB"/>
    <w:rsid w:val="00DC77C4"/>
    <w:rsid w:val="00DC77E5"/>
    <w:rsid w:val="00DC7AA1"/>
    <w:rsid w:val="00DD1DD7"/>
    <w:rsid w:val="00DD49A3"/>
    <w:rsid w:val="00DD67E0"/>
    <w:rsid w:val="00DD7423"/>
    <w:rsid w:val="00DE7473"/>
    <w:rsid w:val="00DF0D47"/>
    <w:rsid w:val="00DF41FA"/>
    <w:rsid w:val="00DF78B8"/>
    <w:rsid w:val="00E00F7C"/>
    <w:rsid w:val="00E0365C"/>
    <w:rsid w:val="00E03EE8"/>
    <w:rsid w:val="00E13649"/>
    <w:rsid w:val="00E16DC2"/>
    <w:rsid w:val="00E229C5"/>
    <w:rsid w:val="00E26E06"/>
    <w:rsid w:val="00E2730C"/>
    <w:rsid w:val="00E30BFD"/>
    <w:rsid w:val="00E36C18"/>
    <w:rsid w:val="00E412C2"/>
    <w:rsid w:val="00E54E1F"/>
    <w:rsid w:val="00E57B8D"/>
    <w:rsid w:val="00E60AE6"/>
    <w:rsid w:val="00E6172B"/>
    <w:rsid w:val="00E7211F"/>
    <w:rsid w:val="00E72F8F"/>
    <w:rsid w:val="00E74416"/>
    <w:rsid w:val="00E74CBA"/>
    <w:rsid w:val="00E75164"/>
    <w:rsid w:val="00E7639D"/>
    <w:rsid w:val="00E8075F"/>
    <w:rsid w:val="00E81241"/>
    <w:rsid w:val="00E86DAA"/>
    <w:rsid w:val="00E9024E"/>
    <w:rsid w:val="00E914DA"/>
    <w:rsid w:val="00E96EDB"/>
    <w:rsid w:val="00EA0D81"/>
    <w:rsid w:val="00EA2D71"/>
    <w:rsid w:val="00EA4CE2"/>
    <w:rsid w:val="00EB2BEF"/>
    <w:rsid w:val="00EB46D4"/>
    <w:rsid w:val="00EC2774"/>
    <w:rsid w:val="00EC5E9A"/>
    <w:rsid w:val="00ED1242"/>
    <w:rsid w:val="00ED4E2F"/>
    <w:rsid w:val="00EE2D46"/>
    <w:rsid w:val="00EF0DE3"/>
    <w:rsid w:val="00F02FC5"/>
    <w:rsid w:val="00F07DD1"/>
    <w:rsid w:val="00F114CF"/>
    <w:rsid w:val="00F118DC"/>
    <w:rsid w:val="00F12646"/>
    <w:rsid w:val="00F152AE"/>
    <w:rsid w:val="00F20747"/>
    <w:rsid w:val="00F22003"/>
    <w:rsid w:val="00F24233"/>
    <w:rsid w:val="00F33888"/>
    <w:rsid w:val="00F343EB"/>
    <w:rsid w:val="00F35C25"/>
    <w:rsid w:val="00F41DC6"/>
    <w:rsid w:val="00F43CF4"/>
    <w:rsid w:val="00F46B5D"/>
    <w:rsid w:val="00F52B08"/>
    <w:rsid w:val="00F53182"/>
    <w:rsid w:val="00F55DB9"/>
    <w:rsid w:val="00F5677D"/>
    <w:rsid w:val="00F5687F"/>
    <w:rsid w:val="00F574D1"/>
    <w:rsid w:val="00F62294"/>
    <w:rsid w:val="00F642AB"/>
    <w:rsid w:val="00F64922"/>
    <w:rsid w:val="00F66E0C"/>
    <w:rsid w:val="00F70FE7"/>
    <w:rsid w:val="00F722D8"/>
    <w:rsid w:val="00F8365F"/>
    <w:rsid w:val="00F94981"/>
    <w:rsid w:val="00F9525E"/>
    <w:rsid w:val="00F9684B"/>
    <w:rsid w:val="00FA2D6E"/>
    <w:rsid w:val="00FA6491"/>
    <w:rsid w:val="00FB2E6E"/>
    <w:rsid w:val="00FB4DC3"/>
    <w:rsid w:val="00FC348D"/>
    <w:rsid w:val="00FC716D"/>
    <w:rsid w:val="00FD04F7"/>
    <w:rsid w:val="00FD1632"/>
    <w:rsid w:val="00FD5EF9"/>
    <w:rsid w:val="00FD7B0B"/>
    <w:rsid w:val="00FE2293"/>
    <w:rsid w:val="00FF141C"/>
    <w:rsid w:val="00FF50D0"/>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6C9E1B"/>
  <w15:chartTrackingRefBased/>
  <w15:docId w15:val="{B1B9A4D1-80FB-654A-9A30-0C48E968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53FF7"/>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0"/>
    <w:uiPriority w:val="9"/>
    <w:qFormat/>
    <w:rsid w:val="00853FF7"/>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0"/>
    <w:uiPriority w:val="9"/>
    <w:qFormat/>
    <w:rsid w:val="00853FF7"/>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3FF7"/>
    <w:rPr>
      <w:rFonts w:ascii="宋体" w:hAnsi="宋体" w:cs="宋体"/>
      <w:b/>
      <w:bCs/>
      <w:kern w:val="36"/>
      <w:sz w:val="48"/>
      <w:szCs w:val="48"/>
    </w:rPr>
  </w:style>
  <w:style w:type="character" w:customStyle="1" w:styleId="20">
    <w:name w:val="标题 2 字符"/>
    <w:basedOn w:val="a0"/>
    <w:link w:val="2"/>
    <w:uiPriority w:val="9"/>
    <w:rsid w:val="00853FF7"/>
    <w:rPr>
      <w:rFonts w:ascii="宋体" w:hAnsi="宋体" w:cs="宋体"/>
      <w:b/>
      <w:bCs/>
      <w:kern w:val="0"/>
      <w:sz w:val="36"/>
      <w:szCs w:val="36"/>
    </w:rPr>
  </w:style>
  <w:style w:type="character" w:customStyle="1" w:styleId="30">
    <w:name w:val="标题 3 字符"/>
    <w:basedOn w:val="a0"/>
    <w:link w:val="3"/>
    <w:uiPriority w:val="9"/>
    <w:rsid w:val="00853FF7"/>
    <w:rPr>
      <w:rFonts w:ascii="宋体" w:hAnsi="宋体" w:cs="宋体"/>
      <w:b/>
      <w:bCs/>
      <w:kern w:val="0"/>
      <w:sz w:val="27"/>
      <w:szCs w:val="27"/>
    </w:rPr>
  </w:style>
  <w:style w:type="character" w:styleId="a3">
    <w:name w:val="Hyperlink"/>
    <w:basedOn w:val="a0"/>
    <w:uiPriority w:val="99"/>
    <w:semiHidden/>
    <w:unhideWhenUsed/>
    <w:rsid w:val="00853FF7"/>
    <w:rPr>
      <w:color w:val="0000FF"/>
      <w:u w:val="single"/>
    </w:rPr>
  </w:style>
  <w:style w:type="paragraph" w:customStyle="1" w:styleId="large-site-navigationitem">
    <w:name w:val="large-site-navigation__item"/>
    <w:basedOn w:val="a"/>
    <w:rsid w:val="00853FF7"/>
    <w:pPr>
      <w:widowControl/>
      <w:spacing w:before="100" w:beforeAutospacing="1" w:after="100" w:afterAutospacing="1"/>
      <w:jc w:val="left"/>
    </w:pPr>
    <w:rPr>
      <w:rFonts w:ascii="宋体" w:hAnsi="宋体" w:cs="宋体"/>
      <w:kern w:val="0"/>
      <w:szCs w:val="24"/>
    </w:rPr>
  </w:style>
  <w:style w:type="paragraph" w:styleId="a4">
    <w:name w:val="Normal (Web)"/>
    <w:basedOn w:val="a"/>
    <w:uiPriority w:val="99"/>
    <w:semiHidden/>
    <w:unhideWhenUsed/>
    <w:rsid w:val="00853FF7"/>
    <w:pPr>
      <w:widowControl/>
      <w:spacing w:before="100" w:beforeAutospacing="1" w:after="100" w:afterAutospacing="1"/>
      <w:jc w:val="left"/>
    </w:pPr>
    <w:rPr>
      <w:rFonts w:ascii="宋体" w:hAnsi="宋体" w:cs="宋体"/>
      <w:kern w:val="0"/>
      <w:szCs w:val="24"/>
    </w:rPr>
  </w:style>
  <w:style w:type="character" w:customStyle="1" w:styleId="breadcrumbsitem">
    <w:name w:val="breadcrumbs__item"/>
    <w:basedOn w:val="a0"/>
    <w:rsid w:val="00853FF7"/>
  </w:style>
  <w:style w:type="character" w:styleId="a5">
    <w:name w:val="Strong"/>
    <w:basedOn w:val="a0"/>
    <w:uiPriority w:val="22"/>
    <w:qFormat/>
    <w:rsid w:val="00853FF7"/>
    <w:rPr>
      <w:b/>
      <w:bCs/>
    </w:rPr>
  </w:style>
  <w:style w:type="character" w:styleId="a6">
    <w:name w:val="Emphasis"/>
    <w:basedOn w:val="a0"/>
    <w:uiPriority w:val="20"/>
    <w:qFormat/>
    <w:rsid w:val="00853FF7"/>
    <w:rPr>
      <w:i/>
      <w:iCs/>
    </w:rPr>
  </w:style>
  <w:style w:type="character" w:customStyle="1" w:styleId="trigger">
    <w:name w:val="trigger"/>
    <w:basedOn w:val="a0"/>
    <w:rsid w:val="00853FF7"/>
  </w:style>
  <w:style w:type="paragraph" w:customStyle="1" w:styleId="slide-number-container">
    <w:name w:val="slide-number-container"/>
    <w:basedOn w:val="a"/>
    <w:rsid w:val="00853FF7"/>
    <w:pPr>
      <w:widowControl/>
      <w:spacing w:before="100" w:beforeAutospacing="1" w:after="100" w:afterAutospacing="1"/>
      <w:jc w:val="left"/>
    </w:pPr>
    <w:rPr>
      <w:rFonts w:ascii="宋体" w:hAnsi="宋体" w:cs="宋体"/>
      <w:kern w:val="0"/>
      <w:szCs w:val="24"/>
    </w:rPr>
  </w:style>
  <w:style w:type="character" w:customStyle="1" w:styleId="slide-number">
    <w:name w:val="slide-number"/>
    <w:basedOn w:val="a0"/>
    <w:rsid w:val="00853FF7"/>
  </w:style>
  <w:style w:type="paragraph" w:customStyle="1" w:styleId="slide">
    <w:name w:val="slide"/>
    <w:basedOn w:val="a"/>
    <w:rsid w:val="00853FF7"/>
    <w:pPr>
      <w:widowControl/>
      <w:spacing w:before="100" w:beforeAutospacing="1" w:after="100" w:afterAutospacing="1"/>
      <w:jc w:val="left"/>
    </w:pPr>
    <w:rPr>
      <w:rFonts w:ascii="宋体" w:hAnsi="宋体" w:cs="宋体"/>
      <w:kern w:val="0"/>
      <w:szCs w:val="24"/>
    </w:rPr>
  </w:style>
  <w:style w:type="paragraph" w:customStyle="1" w:styleId="news-letter">
    <w:name w:val="news-letter"/>
    <w:basedOn w:val="a"/>
    <w:rsid w:val="00853FF7"/>
    <w:pPr>
      <w:widowControl/>
      <w:spacing w:before="100" w:beforeAutospacing="1" w:after="100" w:afterAutospacing="1"/>
      <w:jc w:val="left"/>
    </w:pPr>
    <w:rPr>
      <w:rFonts w:ascii="宋体" w:hAnsi="宋体" w:cs="宋体"/>
      <w:kern w:val="0"/>
      <w:szCs w:val="24"/>
    </w:rPr>
  </w:style>
  <w:style w:type="paragraph" w:styleId="z-">
    <w:name w:val="HTML Top of Form"/>
    <w:basedOn w:val="a"/>
    <w:next w:val="a"/>
    <w:link w:val="z-0"/>
    <w:hidden/>
    <w:uiPriority w:val="99"/>
    <w:semiHidden/>
    <w:unhideWhenUsed/>
    <w:rsid w:val="00853FF7"/>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853FF7"/>
    <w:rPr>
      <w:rFonts w:ascii="Arial" w:hAnsi="Arial" w:cs="Arial"/>
      <w:vanish/>
      <w:kern w:val="0"/>
      <w:sz w:val="16"/>
      <w:szCs w:val="16"/>
    </w:rPr>
  </w:style>
  <w:style w:type="paragraph" w:styleId="z-1">
    <w:name w:val="HTML Bottom of Form"/>
    <w:basedOn w:val="a"/>
    <w:next w:val="a"/>
    <w:link w:val="z-2"/>
    <w:hidden/>
    <w:uiPriority w:val="99"/>
    <w:semiHidden/>
    <w:unhideWhenUsed/>
    <w:rsid w:val="00853FF7"/>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853FF7"/>
    <w:rPr>
      <w:rFonts w:ascii="Arial" w:hAnsi="Arial" w:cs="Arial"/>
      <w:vanish/>
      <w:kern w:val="0"/>
      <w:sz w:val="16"/>
      <w:szCs w:val="16"/>
    </w:rPr>
  </w:style>
  <w:style w:type="character" w:customStyle="1" w:styleId="modal-trigger">
    <w:name w:val="modal-trigger"/>
    <w:basedOn w:val="a0"/>
    <w:rsid w:val="00853FF7"/>
  </w:style>
  <w:style w:type="table" w:styleId="a7">
    <w:name w:val="Table Grid"/>
    <w:basedOn w:val="a1"/>
    <w:uiPriority w:val="39"/>
    <w:rsid w:val="0085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70863">
      <w:bodyDiv w:val="1"/>
      <w:marLeft w:val="0"/>
      <w:marRight w:val="0"/>
      <w:marTop w:val="0"/>
      <w:marBottom w:val="0"/>
      <w:divBdr>
        <w:top w:val="none" w:sz="0" w:space="0" w:color="auto"/>
        <w:left w:val="none" w:sz="0" w:space="0" w:color="auto"/>
        <w:bottom w:val="none" w:sz="0" w:space="0" w:color="auto"/>
        <w:right w:val="none" w:sz="0" w:space="0" w:color="auto"/>
      </w:divBdr>
    </w:div>
    <w:div w:id="454833079">
      <w:bodyDiv w:val="1"/>
      <w:marLeft w:val="0"/>
      <w:marRight w:val="0"/>
      <w:marTop w:val="0"/>
      <w:marBottom w:val="0"/>
      <w:divBdr>
        <w:top w:val="none" w:sz="0" w:space="0" w:color="auto"/>
        <w:left w:val="none" w:sz="0" w:space="0" w:color="auto"/>
        <w:bottom w:val="none" w:sz="0" w:space="0" w:color="auto"/>
        <w:right w:val="none" w:sz="0" w:space="0" w:color="auto"/>
      </w:divBdr>
      <w:divsChild>
        <w:div w:id="2132743925">
          <w:marLeft w:val="0"/>
          <w:marRight w:val="0"/>
          <w:marTop w:val="0"/>
          <w:marBottom w:val="0"/>
          <w:divBdr>
            <w:top w:val="none" w:sz="0" w:space="0" w:color="auto"/>
            <w:left w:val="none" w:sz="0" w:space="0" w:color="auto"/>
            <w:bottom w:val="none" w:sz="0" w:space="0" w:color="auto"/>
            <w:right w:val="none" w:sz="0" w:space="0" w:color="auto"/>
          </w:divBdr>
          <w:divsChild>
            <w:div w:id="136991479">
              <w:marLeft w:val="0"/>
              <w:marRight w:val="0"/>
              <w:marTop w:val="0"/>
              <w:marBottom w:val="0"/>
              <w:divBdr>
                <w:top w:val="none" w:sz="0" w:space="0" w:color="auto"/>
                <w:left w:val="none" w:sz="0" w:space="0" w:color="auto"/>
                <w:bottom w:val="none" w:sz="0" w:space="0" w:color="auto"/>
                <w:right w:val="none" w:sz="0" w:space="0" w:color="auto"/>
              </w:divBdr>
              <w:divsChild>
                <w:div w:id="1873224153">
                  <w:marLeft w:val="0"/>
                  <w:marRight w:val="0"/>
                  <w:marTop w:val="0"/>
                  <w:marBottom w:val="0"/>
                  <w:divBdr>
                    <w:top w:val="none" w:sz="0" w:space="0" w:color="auto"/>
                    <w:left w:val="none" w:sz="0" w:space="0" w:color="auto"/>
                    <w:bottom w:val="none" w:sz="0" w:space="0" w:color="auto"/>
                    <w:right w:val="none" w:sz="0" w:space="0" w:color="auto"/>
                  </w:divBdr>
                  <w:divsChild>
                    <w:div w:id="2026780233">
                      <w:marLeft w:val="0"/>
                      <w:marRight w:val="0"/>
                      <w:marTop w:val="0"/>
                      <w:marBottom w:val="0"/>
                      <w:divBdr>
                        <w:top w:val="none" w:sz="0" w:space="0" w:color="auto"/>
                        <w:left w:val="none" w:sz="0" w:space="0" w:color="auto"/>
                        <w:bottom w:val="none" w:sz="0" w:space="0" w:color="auto"/>
                        <w:right w:val="none" w:sz="0" w:space="0" w:color="auto"/>
                      </w:divBdr>
                      <w:divsChild>
                        <w:div w:id="1525440382">
                          <w:marLeft w:val="0"/>
                          <w:marRight w:val="0"/>
                          <w:marTop w:val="0"/>
                          <w:marBottom w:val="0"/>
                          <w:divBdr>
                            <w:top w:val="none" w:sz="0" w:space="0" w:color="auto"/>
                            <w:left w:val="none" w:sz="0" w:space="0" w:color="auto"/>
                            <w:bottom w:val="none" w:sz="0" w:space="0" w:color="auto"/>
                            <w:right w:val="none" w:sz="0" w:space="0" w:color="auto"/>
                          </w:divBdr>
                          <w:divsChild>
                            <w:div w:id="2011178082">
                              <w:marLeft w:val="0"/>
                              <w:marRight w:val="0"/>
                              <w:marTop w:val="0"/>
                              <w:marBottom w:val="0"/>
                              <w:divBdr>
                                <w:top w:val="none" w:sz="0" w:space="0" w:color="auto"/>
                                <w:left w:val="none" w:sz="0" w:space="0" w:color="auto"/>
                                <w:bottom w:val="none" w:sz="0" w:space="0" w:color="auto"/>
                                <w:right w:val="none" w:sz="0" w:space="0" w:color="auto"/>
                              </w:divBdr>
                              <w:divsChild>
                                <w:div w:id="1503348536">
                                  <w:marLeft w:val="0"/>
                                  <w:marRight w:val="0"/>
                                  <w:marTop w:val="0"/>
                                  <w:marBottom w:val="0"/>
                                  <w:divBdr>
                                    <w:top w:val="none" w:sz="0" w:space="0" w:color="auto"/>
                                    <w:left w:val="none" w:sz="0" w:space="0" w:color="auto"/>
                                    <w:bottom w:val="none" w:sz="0" w:space="0" w:color="auto"/>
                                    <w:right w:val="none" w:sz="0" w:space="0" w:color="auto"/>
                                  </w:divBdr>
                                  <w:divsChild>
                                    <w:div w:id="2144347608">
                                      <w:marLeft w:val="0"/>
                                      <w:marRight w:val="0"/>
                                      <w:marTop w:val="0"/>
                                      <w:marBottom w:val="0"/>
                                      <w:divBdr>
                                        <w:top w:val="none" w:sz="0" w:space="0" w:color="auto"/>
                                        <w:left w:val="none" w:sz="0" w:space="0" w:color="auto"/>
                                        <w:bottom w:val="none" w:sz="0" w:space="0" w:color="auto"/>
                                        <w:right w:val="none" w:sz="0" w:space="0" w:color="auto"/>
                                      </w:divBdr>
                                    </w:div>
                                  </w:divsChild>
                                </w:div>
                                <w:div w:id="1214122505">
                                  <w:marLeft w:val="0"/>
                                  <w:marRight w:val="0"/>
                                  <w:marTop w:val="0"/>
                                  <w:marBottom w:val="0"/>
                                  <w:divBdr>
                                    <w:top w:val="none" w:sz="0" w:space="0" w:color="auto"/>
                                    <w:left w:val="none" w:sz="0" w:space="0" w:color="auto"/>
                                    <w:bottom w:val="none" w:sz="0" w:space="0" w:color="auto"/>
                                    <w:right w:val="none" w:sz="0" w:space="0" w:color="auto"/>
                                  </w:divBdr>
                                  <w:divsChild>
                                    <w:div w:id="569734440">
                                      <w:marLeft w:val="0"/>
                                      <w:marRight w:val="0"/>
                                      <w:marTop w:val="0"/>
                                      <w:marBottom w:val="0"/>
                                      <w:divBdr>
                                        <w:top w:val="none" w:sz="0" w:space="0" w:color="auto"/>
                                        <w:left w:val="none" w:sz="0" w:space="0" w:color="auto"/>
                                        <w:bottom w:val="none" w:sz="0" w:space="0" w:color="auto"/>
                                        <w:right w:val="none" w:sz="0" w:space="0" w:color="auto"/>
                                      </w:divBdr>
                                    </w:div>
                                    <w:div w:id="1890149151">
                                      <w:marLeft w:val="0"/>
                                      <w:marRight w:val="0"/>
                                      <w:marTop w:val="0"/>
                                      <w:marBottom w:val="0"/>
                                      <w:divBdr>
                                        <w:top w:val="single" w:sz="8" w:space="12" w:color="BBBBBB"/>
                                        <w:left w:val="single" w:sz="8" w:space="24" w:color="BBBBBB"/>
                                        <w:bottom w:val="single" w:sz="8" w:space="12" w:color="BBBBBB"/>
                                        <w:right w:val="single" w:sz="8" w:space="24" w:color="BBBBBB"/>
                                      </w:divBdr>
                                      <w:divsChild>
                                        <w:div w:id="1029910435">
                                          <w:marLeft w:val="0"/>
                                          <w:marRight w:val="0"/>
                                          <w:marTop w:val="0"/>
                                          <w:marBottom w:val="0"/>
                                          <w:divBdr>
                                            <w:top w:val="none" w:sz="0" w:space="0" w:color="auto"/>
                                            <w:left w:val="none" w:sz="0" w:space="0" w:color="auto"/>
                                            <w:bottom w:val="none" w:sz="0" w:space="0" w:color="auto"/>
                                            <w:right w:val="none" w:sz="0" w:space="0" w:color="auto"/>
                                          </w:divBdr>
                                        </w:div>
                                        <w:div w:id="471677460">
                                          <w:marLeft w:val="0"/>
                                          <w:marRight w:val="0"/>
                                          <w:marTop w:val="0"/>
                                          <w:marBottom w:val="0"/>
                                          <w:divBdr>
                                            <w:top w:val="none" w:sz="0" w:space="0" w:color="auto"/>
                                            <w:left w:val="single" w:sz="6" w:space="26" w:color="BBBBBB"/>
                                            <w:bottom w:val="none" w:sz="0" w:space="0" w:color="auto"/>
                                            <w:right w:val="none" w:sz="0" w:space="12" w:color="auto"/>
                                          </w:divBdr>
                                        </w:div>
                                        <w:div w:id="344787892">
                                          <w:marLeft w:val="0"/>
                                          <w:marRight w:val="0"/>
                                          <w:marTop w:val="0"/>
                                          <w:marBottom w:val="0"/>
                                          <w:divBdr>
                                            <w:top w:val="none" w:sz="0" w:space="0" w:color="auto"/>
                                            <w:left w:val="single" w:sz="6" w:space="26" w:color="BBBBBB"/>
                                            <w:bottom w:val="none" w:sz="0" w:space="0" w:color="auto"/>
                                            <w:right w:val="none" w:sz="0" w:space="12" w:color="auto"/>
                                          </w:divBdr>
                                          <w:divsChild>
                                            <w:div w:id="746657840">
                                              <w:marLeft w:val="0"/>
                                              <w:marRight w:val="0"/>
                                              <w:marTop w:val="0"/>
                                              <w:marBottom w:val="150"/>
                                              <w:divBdr>
                                                <w:top w:val="none" w:sz="0" w:space="0" w:color="auto"/>
                                                <w:left w:val="none" w:sz="0" w:space="0" w:color="auto"/>
                                                <w:bottom w:val="none" w:sz="0" w:space="0" w:color="auto"/>
                                                <w:right w:val="none" w:sz="0" w:space="0" w:color="auto"/>
                                              </w:divBdr>
                                            </w:div>
                                            <w:div w:id="19963022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9860166">
                                      <w:marLeft w:val="0"/>
                                      <w:marRight w:val="0"/>
                                      <w:marTop w:val="0"/>
                                      <w:marBottom w:val="0"/>
                                      <w:divBdr>
                                        <w:top w:val="none" w:sz="0" w:space="0" w:color="auto"/>
                                        <w:left w:val="none" w:sz="0" w:space="0" w:color="auto"/>
                                        <w:bottom w:val="none" w:sz="0" w:space="0" w:color="auto"/>
                                        <w:right w:val="none" w:sz="0" w:space="0" w:color="auto"/>
                                      </w:divBdr>
                                    </w:div>
                                    <w:div w:id="1595549340">
                                      <w:marLeft w:val="0"/>
                                      <w:marRight w:val="0"/>
                                      <w:marTop w:val="0"/>
                                      <w:marBottom w:val="0"/>
                                      <w:divBdr>
                                        <w:top w:val="single" w:sz="8" w:space="12" w:color="BBBBBB"/>
                                        <w:left w:val="single" w:sz="8" w:space="24" w:color="BBBBBB"/>
                                        <w:bottom w:val="single" w:sz="8" w:space="12" w:color="BBBBBB"/>
                                        <w:right w:val="single" w:sz="8" w:space="24" w:color="BBBBBB"/>
                                      </w:divBdr>
                                      <w:divsChild>
                                        <w:div w:id="1255549247">
                                          <w:marLeft w:val="0"/>
                                          <w:marRight w:val="0"/>
                                          <w:marTop w:val="0"/>
                                          <w:marBottom w:val="0"/>
                                          <w:divBdr>
                                            <w:top w:val="none" w:sz="0" w:space="0" w:color="auto"/>
                                            <w:left w:val="none" w:sz="0" w:space="0" w:color="auto"/>
                                            <w:bottom w:val="none" w:sz="0" w:space="0" w:color="auto"/>
                                            <w:right w:val="none" w:sz="0" w:space="0" w:color="auto"/>
                                          </w:divBdr>
                                        </w:div>
                                        <w:div w:id="1548488731">
                                          <w:marLeft w:val="0"/>
                                          <w:marRight w:val="0"/>
                                          <w:marTop w:val="0"/>
                                          <w:marBottom w:val="0"/>
                                          <w:divBdr>
                                            <w:top w:val="none" w:sz="0" w:space="0" w:color="auto"/>
                                            <w:left w:val="single" w:sz="6" w:space="26" w:color="BBBBBB"/>
                                            <w:bottom w:val="none" w:sz="0" w:space="0" w:color="auto"/>
                                            <w:right w:val="none" w:sz="0" w:space="12" w:color="auto"/>
                                          </w:divBdr>
                                        </w:div>
                                        <w:div w:id="1477837006">
                                          <w:marLeft w:val="0"/>
                                          <w:marRight w:val="0"/>
                                          <w:marTop w:val="0"/>
                                          <w:marBottom w:val="0"/>
                                          <w:divBdr>
                                            <w:top w:val="none" w:sz="0" w:space="0" w:color="auto"/>
                                            <w:left w:val="single" w:sz="6" w:space="26" w:color="BBBBBB"/>
                                            <w:bottom w:val="none" w:sz="0" w:space="0" w:color="auto"/>
                                            <w:right w:val="none" w:sz="0" w:space="12" w:color="auto"/>
                                          </w:divBdr>
                                          <w:divsChild>
                                            <w:div w:id="2050301790">
                                              <w:marLeft w:val="0"/>
                                              <w:marRight w:val="0"/>
                                              <w:marTop w:val="0"/>
                                              <w:marBottom w:val="150"/>
                                              <w:divBdr>
                                                <w:top w:val="none" w:sz="0" w:space="0" w:color="auto"/>
                                                <w:left w:val="none" w:sz="0" w:space="0" w:color="auto"/>
                                                <w:bottom w:val="none" w:sz="0" w:space="0" w:color="auto"/>
                                                <w:right w:val="none" w:sz="0" w:space="0" w:color="auto"/>
                                              </w:divBdr>
                                            </w:div>
                                            <w:div w:id="14717483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4572770">
                                      <w:marLeft w:val="0"/>
                                      <w:marRight w:val="0"/>
                                      <w:marTop w:val="0"/>
                                      <w:marBottom w:val="0"/>
                                      <w:divBdr>
                                        <w:top w:val="none" w:sz="0" w:space="0" w:color="auto"/>
                                        <w:left w:val="none" w:sz="0" w:space="0" w:color="auto"/>
                                        <w:bottom w:val="none" w:sz="0" w:space="0" w:color="auto"/>
                                        <w:right w:val="none" w:sz="0" w:space="0" w:color="auto"/>
                                      </w:divBdr>
                                    </w:div>
                                    <w:div w:id="411201334">
                                      <w:marLeft w:val="0"/>
                                      <w:marRight w:val="0"/>
                                      <w:marTop w:val="0"/>
                                      <w:marBottom w:val="0"/>
                                      <w:divBdr>
                                        <w:top w:val="single" w:sz="8" w:space="12" w:color="BBBBBB"/>
                                        <w:left w:val="single" w:sz="8" w:space="24" w:color="BBBBBB"/>
                                        <w:bottom w:val="single" w:sz="8" w:space="12" w:color="BBBBBB"/>
                                        <w:right w:val="single" w:sz="8" w:space="24" w:color="BBBBBB"/>
                                      </w:divBdr>
                                      <w:divsChild>
                                        <w:div w:id="571620726">
                                          <w:marLeft w:val="0"/>
                                          <w:marRight w:val="0"/>
                                          <w:marTop w:val="0"/>
                                          <w:marBottom w:val="0"/>
                                          <w:divBdr>
                                            <w:top w:val="none" w:sz="0" w:space="0" w:color="auto"/>
                                            <w:left w:val="none" w:sz="0" w:space="0" w:color="auto"/>
                                            <w:bottom w:val="none" w:sz="0" w:space="0" w:color="auto"/>
                                            <w:right w:val="none" w:sz="0" w:space="0" w:color="auto"/>
                                          </w:divBdr>
                                        </w:div>
                                        <w:div w:id="2067533921">
                                          <w:marLeft w:val="0"/>
                                          <w:marRight w:val="0"/>
                                          <w:marTop w:val="0"/>
                                          <w:marBottom w:val="0"/>
                                          <w:divBdr>
                                            <w:top w:val="none" w:sz="0" w:space="0" w:color="auto"/>
                                            <w:left w:val="single" w:sz="6" w:space="26" w:color="BBBBBB"/>
                                            <w:bottom w:val="none" w:sz="0" w:space="0" w:color="auto"/>
                                            <w:right w:val="none" w:sz="0" w:space="12" w:color="auto"/>
                                          </w:divBdr>
                                        </w:div>
                                        <w:div w:id="1948465080">
                                          <w:marLeft w:val="0"/>
                                          <w:marRight w:val="0"/>
                                          <w:marTop w:val="0"/>
                                          <w:marBottom w:val="0"/>
                                          <w:divBdr>
                                            <w:top w:val="none" w:sz="0" w:space="0" w:color="auto"/>
                                            <w:left w:val="single" w:sz="6" w:space="26" w:color="BBBBBB"/>
                                            <w:bottom w:val="none" w:sz="0" w:space="0" w:color="auto"/>
                                            <w:right w:val="none" w:sz="0" w:space="12" w:color="auto"/>
                                          </w:divBdr>
                                          <w:divsChild>
                                            <w:div w:id="1841961723">
                                              <w:marLeft w:val="0"/>
                                              <w:marRight w:val="0"/>
                                              <w:marTop w:val="0"/>
                                              <w:marBottom w:val="150"/>
                                              <w:divBdr>
                                                <w:top w:val="none" w:sz="0" w:space="0" w:color="auto"/>
                                                <w:left w:val="none" w:sz="0" w:space="0" w:color="auto"/>
                                                <w:bottom w:val="none" w:sz="0" w:space="0" w:color="auto"/>
                                                <w:right w:val="none" w:sz="0" w:space="0" w:color="auto"/>
                                              </w:divBdr>
                                            </w:div>
                                            <w:div w:id="650453076">
                                              <w:marLeft w:val="0"/>
                                              <w:marRight w:val="0"/>
                                              <w:marTop w:val="0"/>
                                              <w:marBottom w:val="150"/>
                                              <w:divBdr>
                                                <w:top w:val="none" w:sz="0" w:space="0" w:color="auto"/>
                                                <w:left w:val="none" w:sz="0" w:space="0" w:color="auto"/>
                                                <w:bottom w:val="none" w:sz="0" w:space="0" w:color="auto"/>
                                                <w:right w:val="none" w:sz="0" w:space="0" w:color="auto"/>
                                              </w:divBdr>
                                            </w:div>
                                            <w:div w:id="1261718425">
                                              <w:marLeft w:val="0"/>
                                              <w:marRight w:val="0"/>
                                              <w:marTop w:val="0"/>
                                              <w:marBottom w:val="150"/>
                                              <w:divBdr>
                                                <w:top w:val="none" w:sz="0" w:space="0" w:color="auto"/>
                                                <w:left w:val="none" w:sz="0" w:space="0" w:color="auto"/>
                                                <w:bottom w:val="none" w:sz="0" w:space="0" w:color="auto"/>
                                                <w:right w:val="none" w:sz="0" w:space="0" w:color="auto"/>
                                              </w:divBdr>
                                            </w:div>
                                            <w:div w:id="1053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9395">
                                      <w:marLeft w:val="0"/>
                                      <w:marRight w:val="0"/>
                                      <w:marTop w:val="0"/>
                                      <w:marBottom w:val="0"/>
                                      <w:divBdr>
                                        <w:top w:val="none" w:sz="0" w:space="0" w:color="auto"/>
                                        <w:left w:val="none" w:sz="0" w:space="0" w:color="auto"/>
                                        <w:bottom w:val="none" w:sz="0" w:space="0" w:color="auto"/>
                                        <w:right w:val="none" w:sz="0" w:space="0" w:color="auto"/>
                                      </w:divBdr>
                                    </w:div>
                                    <w:div w:id="1237940167">
                                      <w:marLeft w:val="0"/>
                                      <w:marRight w:val="0"/>
                                      <w:marTop w:val="0"/>
                                      <w:marBottom w:val="0"/>
                                      <w:divBdr>
                                        <w:top w:val="single" w:sz="8" w:space="12" w:color="BBBBBB"/>
                                        <w:left w:val="single" w:sz="8" w:space="24" w:color="BBBBBB"/>
                                        <w:bottom w:val="single" w:sz="8" w:space="12" w:color="BBBBBB"/>
                                        <w:right w:val="single" w:sz="8" w:space="24" w:color="BBBBBB"/>
                                      </w:divBdr>
                                      <w:divsChild>
                                        <w:div w:id="135688381">
                                          <w:marLeft w:val="0"/>
                                          <w:marRight w:val="0"/>
                                          <w:marTop w:val="0"/>
                                          <w:marBottom w:val="0"/>
                                          <w:divBdr>
                                            <w:top w:val="none" w:sz="0" w:space="0" w:color="auto"/>
                                            <w:left w:val="none" w:sz="0" w:space="0" w:color="auto"/>
                                            <w:bottom w:val="none" w:sz="0" w:space="0" w:color="auto"/>
                                            <w:right w:val="none" w:sz="0" w:space="0" w:color="auto"/>
                                          </w:divBdr>
                                        </w:div>
                                        <w:div w:id="820195011">
                                          <w:marLeft w:val="0"/>
                                          <w:marRight w:val="0"/>
                                          <w:marTop w:val="0"/>
                                          <w:marBottom w:val="0"/>
                                          <w:divBdr>
                                            <w:top w:val="none" w:sz="0" w:space="0" w:color="auto"/>
                                            <w:left w:val="single" w:sz="6" w:space="26" w:color="BBBBBB"/>
                                            <w:bottom w:val="none" w:sz="0" w:space="0" w:color="auto"/>
                                            <w:right w:val="none" w:sz="0" w:space="12" w:color="auto"/>
                                          </w:divBdr>
                                        </w:div>
                                        <w:div w:id="860894494">
                                          <w:marLeft w:val="0"/>
                                          <w:marRight w:val="0"/>
                                          <w:marTop w:val="0"/>
                                          <w:marBottom w:val="0"/>
                                          <w:divBdr>
                                            <w:top w:val="none" w:sz="0" w:space="0" w:color="auto"/>
                                            <w:left w:val="single" w:sz="6" w:space="26" w:color="BBBBBB"/>
                                            <w:bottom w:val="none" w:sz="0" w:space="0" w:color="auto"/>
                                            <w:right w:val="none" w:sz="0" w:space="12" w:color="auto"/>
                                          </w:divBdr>
                                          <w:divsChild>
                                            <w:div w:id="1941180459">
                                              <w:marLeft w:val="0"/>
                                              <w:marRight w:val="0"/>
                                              <w:marTop w:val="0"/>
                                              <w:marBottom w:val="150"/>
                                              <w:divBdr>
                                                <w:top w:val="none" w:sz="0" w:space="0" w:color="auto"/>
                                                <w:left w:val="none" w:sz="0" w:space="0" w:color="auto"/>
                                                <w:bottom w:val="none" w:sz="0" w:space="0" w:color="auto"/>
                                                <w:right w:val="none" w:sz="0" w:space="0" w:color="auto"/>
                                              </w:divBdr>
                                            </w:div>
                                            <w:div w:id="12452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55991">
                      <w:marLeft w:val="0"/>
                      <w:marRight w:val="0"/>
                      <w:marTop w:val="0"/>
                      <w:marBottom w:val="0"/>
                      <w:divBdr>
                        <w:top w:val="none" w:sz="0" w:space="0" w:color="auto"/>
                        <w:left w:val="none" w:sz="0" w:space="0" w:color="auto"/>
                        <w:bottom w:val="none" w:sz="0" w:space="0" w:color="auto"/>
                        <w:right w:val="none" w:sz="0" w:space="0" w:color="auto"/>
                      </w:divBdr>
                      <w:divsChild>
                        <w:div w:id="1251809936">
                          <w:marLeft w:val="0"/>
                          <w:marRight w:val="0"/>
                          <w:marTop w:val="0"/>
                          <w:marBottom w:val="0"/>
                          <w:divBdr>
                            <w:top w:val="none" w:sz="0" w:space="0" w:color="auto"/>
                            <w:left w:val="none" w:sz="0" w:space="0" w:color="auto"/>
                            <w:bottom w:val="none" w:sz="0" w:space="0" w:color="auto"/>
                            <w:right w:val="none" w:sz="0" w:space="0" w:color="auto"/>
                          </w:divBdr>
                          <w:divsChild>
                            <w:div w:id="1440028485">
                              <w:marLeft w:val="0"/>
                              <w:marRight w:val="0"/>
                              <w:marTop w:val="0"/>
                              <w:marBottom w:val="0"/>
                              <w:divBdr>
                                <w:top w:val="none" w:sz="0" w:space="0" w:color="auto"/>
                                <w:left w:val="none" w:sz="0" w:space="0" w:color="auto"/>
                                <w:bottom w:val="none" w:sz="0" w:space="0" w:color="auto"/>
                                <w:right w:val="none" w:sz="0" w:space="0" w:color="auto"/>
                              </w:divBdr>
                              <w:divsChild>
                                <w:div w:id="432827715">
                                  <w:marLeft w:val="0"/>
                                  <w:marRight w:val="0"/>
                                  <w:marTop w:val="0"/>
                                  <w:marBottom w:val="0"/>
                                  <w:divBdr>
                                    <w:top w:val="none" w:sz="0" w:space="0" w:color="auto"/>
                                    <w:left w:val="none" w:sz="0" w:space="0" w:color="auto"/>
                                    <w:bottom w:val="none" w:sz="0" w:space="0" w:color="auto"/>
                                    <w:right w:val="none" w:sz="0" w:space="0" w:color="auto"/>
                                  </w:divBdr>
                                </w:div>
                                <w:div w:id="1882785044">
                                  <w:marLeft w:val="0"/>
                                  <w:marRight w:val="0"/>
                                  <w:marTop w:val="0"/>
                                  <w:marBottom w:val="0"/>
                                  <w:divBdr>
                                    <w:top w:val="none" w:sz="0" w:space="0" w:color="auto"/>
                                    <w:left w:val="none" w:sz="0" w:space="0" w:color="auto"/>
                                    <w:bottom w:val="none" w:sz="0" w:space="0" w:color="auto"/>
                                    <w:right w:val="none" w:sz="0" w:space="0" w:color="auto"/>
                                  </w:divBdr>
                                  <w:divsChild>
                                    <w:div w:id="324407567">
                                      <w:marLeft w:val="0"/>
                                      <w:marRight w:val="0"/>
                                      <w:marTop w:val="0"/>
                                      <w:marBottom w:val="0"/>
                                      <w:divBdr>
                                        <w:top w:val="none" w:sz="0" w:space="0" w:color="auto"/>
                                        <w:left w:val="none" w:sz="0" w:space="0" w:color="auto"/>
                                        <w:bottom w:val="none" w:sz="0" w:space="0" w:color="auto"/>
                                        <w:right w:val="none" w:sz="0" w:space="0" w:color="auto"/>
                                      </w:divBdr>
                                      <w:divsChild>
                                        <w:div w:id="1441489380">
                                          <w:marLeft w:val="0"/>
                                          <w:marRight w:val="424"/>
                                          <w:marTop w:val="0"/>
                                          <w:marBottom w:val="360"/>
                                          <w:divBdr>
                                            <w:top w:val="none" w:sz="0" w:space="0" w:color="auto"/>
                                            <w:left w:val="none" w:sz="0" w:space="0" w:color="auto"/>
                                            <w:bottom w:val="none" w:sz="0" w:space="0" w:color="auto"/>
                                            <w:right w:val="none" w:sz="0" w:space="0" w:color="auto"/>
                                          </w:divBdr>
                                          <w:divsChild>
                                            <w:div w:id="1437945280">
                                              <w:marLeft w:val="0"/>
                                              <w:marRight w:val="0"/>
                                              <w:marTop w:val="0"/>
                                              <w:marBottom w:val="0"/>
                                              <w:divBdr>
                                                <w:top w:val="none" w:sz="0" w:space="0" w:color="auto"/>
                                                <w:left w:val="none" w:sz="0" w:space="0" w:color="auto"/>
                                                <w:bottom w:val="none" w:sz="0" w:space="0" w:color="auto"/>
                                                <w:right w:val="none" w:sz="0" w:space="0" w:color="auto"/>
                                              </w:divBdr>
                                            </w:div>
                                          </w:divsChild>
                                        </w:div>
                                        <w:div w:id="354379690">
                                          <w:marLeft w:val="0"/>
                                          <w:marRight w:val="0"/>
                                          <w:marTop w:val="0"/>
                                          <w:marBottom w:val="360"/>
                                          <w:divBdr>
                                            <w:top w:val="none" w:sz="0" w:space="0" w:color="auto"/>
                                            <w:left w:val="none" w:sz="0" w:space="0" w:color="auto"/>
                                            <w:bottom w:val="none" w:sz="0" w:space="0" w:color="auto"/>
                                            <w:right w:val="none" w:sz="0" w:space="0" w:color="auto"/>
                                          </w:divBdr>
                                          <w:divsChild>
                                            <w:div w:id="1862746624">
                                              <w:marLeft w:val="0"/>
                                              <w:marRight w:val="0"/>
                                              <w:marTop w:val="0"/>
                                              <w:marBottom w:val="0"/>
                                              <w:divBdr>
                                                <w:top w:val="none" w:sz="0" w:space="0" w:color="auto"/>
                                                <w:left w:val="none" w:sz="0" w:space="0" w:color="auto"/>
                                                <w:bottom w:val="none" w:sz="0" w:space="0" w:color="auto"/>
                                                <w:right w:val="none" w:sz="0" w:space="0" w:color="auto"/>
                                              </w:divBdr>
                                              <w:divsChild>
                                                <w:div w:id="1285966185">
                                                  <w:marLeft w:val="0"/>
                                                  <w:marRight w:val="0"/>
                                                  <w:marTop w:val="0"/>
                                                  <w:marBottom w:val="360"/>
                                                  <w:divBdr>
                                                    <w:top w:val="none" w:sz="0" w:space="0" w:color="auto"/>
                                                    <w:left w:val="none" w:sz="0" w:space="0" w:color="auto"/>
                                                    <w:bottom w:val="single" w:sz="6" w:space="0" w:color="BBBBBB"/>
                                                    <w:right w:val="none" w:sz="0" w:space="0" w:color="auto"/>
                                                  </w:divBdr>
                                                </w:div>
                                              </w:divsChild>
                                            </w:div>
                                          </w:divsChild>
                                        </w:div>
                                      </w:divsChild>
                                    </w:div>
                                  </w:divsChild>
                                </w:div>
                              </w:divsChild>
                            </w:div>
                          </w:divsChild>
                        </w:div>
                      </w:divsChild>
                    </w:div>
                  </w:divsChild>
                </w:div>
              </w:divsChild>
            </w:div>
          </w:divsChild>
        </w:div>
        <w:div w:id="523710539">
          <w:marLeft w:val="0"/>
          <w:marRight w:val="0"/>
          <w:marTop w:val="0"/>
          <w:marBottom w:val="0"/>
          <w:divBdr>
            <w:top w:val="none" w:sz="0" w:space="0" w:color="auto"/>
            <w:left w:val="none" w:sz="0" w:space="0" w:color="auto"/>
            <w:bottom w:val="none" w:sz="0" w:space="0" w:color="auto"/>
            <w:right w:val="none" w:sz="0" w:space="0" w:color="auto"/>
          </w:divBdr>
          <w:divsChild>
            <w:div w:id="2139570415">
              <w:marLeft w:val="-225"/>
              <w:marRight w:val="-225"/>
              <w:marTop w:val="0"/>
              <w:marBottom w:val="0"/>
              <w:divBdr>
                <w:top w:val="none" w:sz="0" w:space="0" w:color="auto"/>
                <w:left w:val="none" w:sz="0" w:space="0" w:color="auto"/>
                <w:bottom w:val="none" w:sz="0" w:space="0" w:color="auto"/>
                <w:right w:val="none" w:sz="0" w:space="0" w:color="auto"/>
              </w:divBdr>
              <w:divsChild>
                <w:div w:id="1380276123">
                  <w:marLeft w:val="0"/>
                  <w:marRight w:val="0"/>
                  <w:marTop w:val="0"/>
                  <w:marBottom w:val="0"/>
                  <w:divBdr>
                    <w:top w:val="none" w:sz="0" w:space="0" w:color="auto"/>
                    <w:left w:val="none" w:sz="0" w:space="0" w:color="auto"/>
                    <w:bottom w:val="none" w:sz="0" w:space="0" w:color="auto"/>
                    <w:right w:val="none" w:sz="0" w:space="0" w:color="auto"/>
                  </w:divBdr>
                  <w:divsChild>
                    <w:div w:id="1067725296">
                      <w:marLeft w:val="0"/>
                      <w:marRight w:val="0"/>
                      <w:marTop w:val="0"/>
                      <w:marBottom w:val="0"/>
                      <w:divBdr>
                        <w:top w:val="none" w:sz="0" w:space="0" w:color="auto"/>
                        <w:left w:val="none" w:sz="0" w:space="0" w:color="auto"/>
                        <w:bottom w:val="none" w:sz="0" w:space="0" w:color="auto"/>
                        <w:right w:val="none" w:sz="0" w:space="0" w:color="auto"/>
                      </w:divBdr>
                    </w:div>
                    <w:div w:id="1463689914">
                      <w:marLeft w:val="0"/>
                      <w:marRight w:val="0"/>
                      <w:marTop w:val="0"/>
                      <w:marBottom w:val="0"/>
                      <w:divBdr>
                        <w:top w:val="none" w:sz="0" w:space="0" w:color="auto"/>
                        <w:left w:val="none" w:sz="0" w:space="0" w:color="auto"/>
                        <w:bottom w:val="none" w:sz="0" w:space="0" w:color="auto"/>
                        <w:right w:val="none" w:sz="0" w:space="0" w:color="auto"/>
                      </w:divBdr>
                    </w:div>
                  </w:divsChild>
                </w:div>
                <w:div w:id="791094655">
                  <w:marLeft w:val="0"/>
                  <w:marRight w:val="0"/>
                  <w:marTop w:val="0"/>
                  <w:marBottom w:val="0"/>
                  <w:divBdr>
                    <w:top w:val="none" w:sz="0" w:space="0" w:color="auto"/>
                    <w:left w:val="none" w:sz="0" w:space="0" w:color="auto"/>
                    <w:bottom w:val="none" w:sz="0" w:space="0" w:color="auto"/>
                    <w:right w:val="none" w:sz="0" w:space="0" w:color="auto"/>
                  </w:divBdr>
                  <w:divsChild>
                    <w:div w:id="152264055">
                      <w:marLeft w:val="0"/>
                      <w:marRight w:val="0"/>
                      <w:marTop w:val="0"/>
                      <w:marBottom w:val="0"/>
                      <w:divBdr>
                        <w:top w:val="none" w:sz="0" w:space="0" w:color="auto"/>
                        <w:left w:val="none" w:sz="0" w:space="0" w:color="auto"/>
                        <w:bottom w:val="none" w:sz="0" w:space="0" w:color="auto"/>
                        <w:right w:val="none" w:sz="0" w:space="0" w:color="auto"/>
                      </w:divBdr>
                      <w:divsChild>
                        <w:div w:id="18369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5842">
          <w:marLeft w:val="0"/>
          <w:marRight w:val="0"/>
          <w:marTop w:val="0"/>
          <w:marBottom w:val="0"/>
          <w:divBdr>
            <w:top w:val="none" w:sz="0" w:space="0" w:color="auto"/>
            <w:left w:val="none" w:sz="0" w:space="0" w:color="auto"/>
            <w:bottom w:val="none" w:sz="0" w:space="0" w:color="auto"/>
            <w:right w:val="none" w:sz="0" w:space="0" w:color="auto"/>
          </w:divBdr>
          <w:divsChild>
            <w:div w:id="989020556">
              <w:marLeft w:val="0"/>
              <w:marRight w:val="0"/>
              <w:marTop w:val="0"/>
              <w:marBottom w:val="0"/>
              <w:divBdr>
                <w:top w:val="none" w:sz="0" w:space="0" w:color="auto"/>
                <w:left w:val="none" w:sz="0" w:space="0" w:color="auto"/>
                <w:bottom w:val="none" w:sz="0" w:space="0" w:color="auto"/>
                <w:right w:val="none" w:sz="0" w:space="0" w:color="auto"/>
              </w:divBdr>
            </w:div>
            <w:div w:id="975990623">
              <w:marLeft w:val="0"/>
              <w:marRight w:val="0"/>
              <w:marTop w:val="0"/>
              <w:marBottom w:val="0"/>
              <w:divBdr>
                <w:top w:val="none" w:sz="0" w:space="0" w:color="auto"/>
                <w:left w:val="none" w:sz="0" w:space="0" w:color="auto"/>
                <w:bottom w:val="none" w:sz="0" w:space="0" w:color="auto"/>
                <w:right w:val="none" w:sz="0" w:space="0" w:color="auto"/>
              </w:divBdr>
            </w:div>
          </w:divsChild>
        </w:div>
        <w:div w:id="1669168611">
          <w:marLeft w:val="0"/>
          <w:marRight w:val="0"/>
          <w:marTop w:val="0"/>
          <w:marBottom w:val="0"/>
          <w:divBdr>
            <w:top w:val="none" w:sz="0" w:space="0" w:color="auto"/>
            <w:left w:val="none" w:sz="0" w:space="0" w:color="auto"/>
            <w:bottom w:val="none" w:sz="0" w:space="0" w:color="auto"/>
            <w:right w:val="none" w:sz="0" w:space="0" w:color="auto"/>
          </w:divBdr>
        </w:div>
      </w:divsChild>
    </w:div>
    <w:div w:id="491218221">
      <w:bodyDiv w:val="1"/>
      <w:marLeft w:val="0"/>
      <w:marRight w:val="0"/>
      <w:marTop w:val="0"/>
      <w:marBottom w:val="0"/>
      <w:divBdr>
        <w:top w:val="none" w:sz="0" w:space="0" w:color="auto"/>
        <w:left w:val="none" w:sz="0" w:space="0" w:color="auto"/>
        <w:bottom w:val="none" w:sz="0" w:space="0" w:color="auto"/>
        <w:right w:val="none" w:sz="0" w:space="0" w:color="auto"/>
      </w:divBdr>
    </w:div>
    <w:div w:id="1203513823">
      <w:bodyDiv w:val="1"/>
      <w:marLeft w:val="0"/>
      <w:marRight w:val="0"/>
      <w:marTop w:val="0"/>
      <w:marBottom w:val="0"/>
      <w:divBdr>
        <w:top w:val="none" w:sz="0" w:space="0" w:color="auto"/>
        <w:left w:val="none" w:sz="0" w:space="0" w:color="auto"/>
        <w:bottom w:val="none" w:sz="0" w:space="0" w:color="auto"/>
        <w:right w:val="none" w:sz="0" w:space="0" w:color="auto"/>
      </w:divBdr>
    </w:div>
    <w:div w:id="210876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b.cn/zh-cn/products/b7024-gel-loading-dye-purple-6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b.cn/zh-cn/tools-and-resources/usage-guidelines/restriction-endonucleases-survival-in-a-reaction" TargetMode="External"/><Relationship Id="rId5" Type="http://schemas.openxmlformats.org/officeDocument/2006/relationships/hyperlink" Target="https://www.neb.cn/zh-cn/products/restriction-endonucleases/hf-nicking-master-mix-time-saver-other/time-saver-qualified-restriction-enzym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1</cp:revision>
  <dcterms:created xsi:type="dcterms:W3CDTF">2024-07-07T08:07:00Z</dcterms:created>
  <dcterms:modified xsi:type="dcterms:W3CDTF">2024-07-07T08:16:00Z</dcterms:modified>
</cp:coreProperties>
</file>