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2A3AB" w14:textId="77777777" w:rsidR="00C83CD0" w:rsidRDefault="00C83CD0" w:rsidP="00C83C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Genome-wide CRISPR screening</w:t>
      </w:r>
    </w:p>
    <w:p w14:paraId="734D838D" w14:textId="2E687AB2" w:rsidR="00C83CD0" w:rsidRDefault="00C83CD0" w:rsidP="00C83CD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A549-Cas9 cells were infected with the Brunello CRISPR sgRNA library</w:t>
      </w:r>
      <w:r w:rsidRPr="00C83CD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at a multiplicity of infection (MOI) of ~0.3 and a coverage of ~100 cells per sgRNA. Twenty-four hours later, the infected cells were re-seeded and selected with 2 µg/ml puromycin for 3 days. Cells surviving puromycin selection were treated with 10 ng/ml IFN</w:t>
      </w:r>
      <w:r>
        <w:rPr>
          <w:rFonts w:ascii="Times New Roman" w:hAnsi="Times New Roman" w:cs="Times New Roman"/>
          <w:lang w:val="el-GR"/>
        </w:rPr>
        <w:t xml:space="preserve">γ </w:t>
      </w:r>
      <w:r>
        <w:rPr>
          <w:rFonts w:ascii="Times New Roman" w:hAnsi="Times New Roman" w:cs="Times New Roman"/>
        </w:rPr>
        <w:t>together with DMSO or ACE (gradually increasing from 4 µM to 10 µM) for three weeks to select for resistant cells. Extraction of genomic DNA and amplification of sgRNA for next generation sequencing were performed as described</w:t>
      </w:r>
      <w:r w:rsidRPr="00C83CD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 CRISPR screening data were analyzed by MAGeCK (v0.5.9.2)</w:t>
      </w:r>
      <w:r w:rsidRPr="00C83CD0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.</w:t>
      </w:r>
    </w:p>
    <w:p w14:paraId="1B994891" w14:textId="3D73AD91" w:rsidR="004E31FA" w:rsidRDefault="004E31FA"/>
    <w:p w14:paraId="19D6686C" w14:textId="744CB9DC" w:rsidR="00C83CD0" w:rsidRPr="00C83CD0" w:rsidRDefault="00C83CD0" w:rsidP="00C83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83CD0">
        <w:rPr>
          <w:rFonts w:ascii="Times New Roman" w:hAnsi="Times New Roman" w:cs="Times New Roman"/>
        </w:rPr>
        <w:t>Doench, J.G., Fusi, N., Sullender, M., Hegde, M., Vaimberg, E.W., Donovan, K.F., Smith, I., Tothova, Z., Wilen, C., and Orchard, R. (2016). Optimized sgRNA design to maximize activity and minimize off-target effects of CRISPR-Cas9. Nature biotechnology 34, 184-191.</w:t>
      </w:r>
    </w:p>
    <w:p w14:paraId="3D6C36E4" w14:textId="77777777" w:rsidR="00C83CD0" w:rsidRPr="00C83CD0" w:rsidRDefault="00C83CD0" w:rsidP="00C83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83CD0">
        <w:rPr>
          <w:rFonts w:ascii="Times New Roman" w:hAnsi="Times New Roman" w:cs="Times New Roman"/>
        </w:rPr>
        <w:t>Lv, L., Chen, P., Cao, L., Li, Y., Zeng, Z., Cui, Y., Wu, Q., Li, J., Wang, J.-H., and Dong, M.-Q. (2020). Discovery of a molecular glue promoting CDK12-DDB1 interaction to trigger cyclin K degradation. Elife 9, e59994.</w:t>
      </w:r>
    </w:p>
    <w:p w14:paraId="282F8DC3" w14:textId="7E2A7234" w:rsidR="00C83CD0" w:rsidRPr="00C83CD0" w:rsidRDefault="00C83CD0" w:rsidP="00C83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83CD0">
        <w:rPr>
          <w:rFonts w:ascii="Times New Roman" w:hAnsi="Times New Roman" w:cs="Times New Roman"/>
        </w:rPr>
        <w:t>Li, W., Xu, H., Xiao, T., Cong, L., Love, M.I., Zhang, F., Irizarry, R.A., Liu, J.S., Brown, M., and Liu, X.S. (2014). MAGeCK enables robust identification of essential genes from genome-scale CRISPR/Cas9 knockout screens. Genome biology 15, 1-12.</w:t>
      </w:r>
    </w:p>
    <w:sectPr w:rsidR="00C83CD0" w:rsidRPr="00C8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247BA"/>
    <w:multiLevelType w:val="hybridMultilevel"/>
    <w:tmpl w:val="7548D750"/>
    <w:lvl w:ilvl="0" w:tplc="9F1C8ED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48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0"/>
    <w:rsid w:val="00027FCD"/>
    <w:rsid w:val="00187FF8"/>
    <w:rsid w:val="004E31FA"/>
    <w:rsid w:val="00C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C45A"/>
  <w15:chartTrackingRefBased/>
  <w15:docId w15:val="{6FD67AD8-1E85-4F86-BDDA-A35A45AA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D0"/>
    <w:rPr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4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panrui</dc:creator>
  <cp:keywords/>
  <dc:description/>
  <cp:lastModifiedBy>administer</cp:lastModifiedBy>
  <cp:revision>2</cp:revision>
  <dcterms:created xsi:type="dcterms:W3CDTF">2024-12-06T10:40:00Z</dcterms:created>
  <dcterms:modified xsi:type="dcterms:W3CDTF">2024-12-06T10:40:00Z</dcterms:modified>
</cp:coreProperties>
</file>