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3366"/>
          <w:sz w:val="32"/>
        </w:rPr>
        <w:t>Supplementary Material</w:t>
        <w:br/>
      </w:r>
      <w:r>
        <w:rPr>
          <w:b/>
          <w:sz w:val="26"/>
        </w:rPr>
        <w:t>Quantitative Microbial Risk Assessment of Human Norovirus GII in Raw and Cooked Oysters</w:t>
      </w:r>
    </w:p>
    <w:p>
      <w:pPr>
        <w:spacing w:after="280"/>
        <w:jc w:val="center"/>
      </w:pPr>
      <w:r>
        <w:rPr>
          <w:i/>
          <w:sz w:val="22"/>
        </w:rPr>
        <w:t>Weifan Wu, Nalanda M. Dicker, et al., and Arie H. Havelaar</w:t>
      </w:r>
    </w:p>
    <w:p>
      <w:pPr>
        <w:spacing w:after="280"/>
        <w:pBrd>
          <w:bottom w:val="single" w:sz="12" w:space="1" w:color="CCCCCC"/>
        </w:pBrd>
      </w:pPr>
    </w:p>
    <w:p>
      <w:pPr>
        <w:spacing w:before="280" w:after="120"/>
      </w:pPr>
      <w:r>
        <w:rPr>
          <w:b/>
          <w:color w:val="003366"/>
          <w:sz w:val="26"/>
        </w:rPr>
        <w:t>Section S1. Initial Contamination Model Specifications and Bayesian Diagnostics</w:t>
      </w:r>
    </w:p>
    <w:p>
      <w:pPr>
        <w:spacing w:before="200" w:after="80"/>
      </w:pPr>
      <w:r>
        <w:rPr>
          <w:b/>
          <w:sz w:val="24"/>
        </w:rPr>
        <w:t>S1.1 Likelihood Formulation with Left-Censored Quantification Limit</w:t>
      </w:r>
    </w:p>
    <w:p>
      <w:r>
        <w:t>Harvest contamination data for human norovirus (HuNoV) GII in Eastern oysters (Crassostrea virginica) were compiled from retail and market survey datasets (DePaola et al., 2010; Nishida et al., 2003, 2007). Across the pooled survey datasets, 63 out of 1,703 tested oysters were confirmed HuNoV GII-positive by RT-qPCR. Among these 63 positive oysters, n_quant = 22 had quantifiable concentrations above the assay limit of quantification (LOQ = 100 genome copies (GC)/oyster), while n_cens = 41 were detected qualitatively but were below the LOQ (0 &lt; C ≤ 100 GC/oyster).</w:t>
      </w:r>
    </w:p>
    <w:p>
      <w:r>
        <w:t>To utilize all available empirical data without discarding non-quantifiable positives or substituting arbitrary fixed values (e.g., LOQ/2), the positive concentration distribution was estimated within a Bayesian framework incorporating left-censored likelihoods. For a candidate probability density function f(c | θ) and cumulative distribution function F(c | θ), the joint log-likelihood over the 63 positive observations was formulated as:</w:t>
      </w:r>
    </w:p>
    <w:p>
      <w:pPr>
        <w:spacing w:before="80" w:after="120"/>
        <w:jc w:val="center"/>
      </w:pPr>
      <m:oMathPara>
        <m:oMath>
          <m:r>
            <m:t>ln L(θ | c) = </m:t>
          </m:r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22</m:t>
              </m:r>
            </m:sup>
            <m:e>
              <m:r>
                <m:t>ln f(c</m:t>
              </m:r>
              <m:sSub>
                <m:e>
                  <m:r>
                    <m:t/>
                  </m:r>
                </m:e>
                <m:sub>
                  <m:r>
                    <m:t>i</m:t>
                  </m:r>
                </m:sub>
              </m:sSub>
              <m:r>
                <m:t> | θ) + </m:t>
              </m:r>
            </m:e>
          </m:nary>
          <m:nary>
            <m:naryPr>
              <m:chr m:val="∑"/>
              <m:limLoc m:val="undOvr"/>
            </m:naryPr>
            <m:sub>
              <m:r>
                <m:t>j=1</m:t>
              </m:r>
            </m:sub>
            <m:sup>
              <m:r>
                <m:t>41</m:t>
              </m:r>
            </m:sup>
            <m:e>
              <m:r>
                <m:t>ln [ F(LOQ | θ) - F(0 | θ) ]</m:t>
              </m:r>
            </m:e>
          </m:nary>
        </m:oMath>
      </m:oMathPara>
      <w:r>
        <w:rPr>
          <w:rFonts w:ascii="Times New Roman" w:hAnsi="Times New Roman"/>
          <w:b/>
          <w:sz w:val="22"/>
        </w:rPr>
        <w:tab/>
        <w:tab/>
        <w:t>(S1)</w:t>
      </w:r>
    </w:p>
    <w:p>
      <w:pPr>
        <w:spacing w:before="200" w:after="80"/>
      </w:pPr>
      <w:r>
        <w:rPr>
          <w:b/>
          <w:sz w:val="24"/>
        </w:rPr>
        <w:t>S1.2 Candidate Distribution Formulations and Prior Specifications</w:t>
      </w:r>
    </w:p>
    <w:p>
      <w:r>
        <w:t>Two positive-domain distributions were evaluated for positive oyster concentrations:</w:t>
      </w:r>
    </w:p>
    <w:p>
      <w:r>
        <w:t>1. Two-parameter Gamma Distribution:</w:t>
      </w:r>
    </w:p>
    <w:p>
      <w:pPr>
        <w:spacing w:before="80" w:after="120"/>
        <w:jc w:val="center"/>
      </w:pPr>
      <m:oMathPara>
        <m:oMath>
          <m:r>
            <m:t>f(c | k, θ) = </m:t>
          </m:r>
          <m:f>
            <m:num>
              <m:r>
                <m:t>1</m:t>
              </m:r>
            </m:num>
            <m:den>
              <m:r>
                <m:t>Γ(k) · θ</m:t>
              </m:r>
              <m:sSup>
                <m:e>
                  <m:r>
                    <m:t/>
                  </m:r>
                </m:e>
                <m:sup>
                  <m:r>
                    <m:t>k</m:t>
                  </m:r>
                </m:sup>
              </m:sSup>
            </m:den>
          </m:f>
          <m:sSup>
            <m:e>
              <m:r>
                <m:t>c</m:t>
              </m:r>
            </m:e>
            <m:sup>
              <m:r>
                <m:t>k-1</m:t>
              </m:r>
            </m:sup>
          </m:sSup>
          <m:r>
            <m:t>exp</m:t>
          </m:r>
          <m:d>
            <m:e>
              <m:r>
                <m:t>-</m:t>
              </m:r>
              <m:f>
                <m:num>
                  <m:r>
                    <m:t>c</m:t>
                  </m:r>
                </m:num>
                <m:den>
                  <m:r>
                    <m:t>θ</m:t>
                  </m:r>
                </m:den>
              </m:f>
            </m:e>
          </m:d>
          <m:r>
            <m:t>,    c &gt; 0</m:t>
          </m:r>
        </m:oMath>
      </m:oMathPara>
      <w:r>
        <w:rPr>
          <w:rFonts w:ascii="Times New Roman" w:hAnsi="Times New Roman"/>
          <w:b/>
          <w:sz w:val="22"/>
        </w:rPr>
        <w:tab/>
        <w:tab/>
        <w:t>(S2)</w:t>
      </w:r>
    </w:p>
    <w:p>
      <w:r>
        <w:t>where k &gt; 0 is the shape parameter and θ &gt; 0 is the scale parameter (GC/oyster). Weakly informative priors were specified: k ~ Exponential(0.1) and θ ~ Exponential(0.001).</w:t>
      </w:r>
    </w:p>
    <w:p>
      <w:r>
        <w:t>2. Lognormal Distribution:</w:t>
      </w:r>
    </w:p>
    <w:p>
      <w:pPr>
        <w:spacing w:before="80" w:after="120"/>
        <w:jc w:val="center"/>
      </w:pPr>
      <m:oMathPara>
        <m:oMath>
          <m:r>
            <m:t>f(c | μ</m:t>
          </m:r>
          <m:sSub>
            <m:e>
              <m:r>
                <m:t/>
              </m:r>
            </m:e>
            <m:sub>
              <m:r>
                <m:t>log</m:t>
              </m:r>
            </m:sub>
          </m:sSub>
          <m:r>
            <m:t>, σ</m:t>
          </m:r>
          <m:sSub>
            <m:e>
              <m:r>
                <m:t/>
              </m:r>
            </m:e>
            <m:sub>
              <m:r>
                <m:t>log</m:t>
              </m:r>
            </m:sub>
          </m:sSub>
          <m:r>
            <m:t>) = </m:t>
          </m:r>
          <m:f>
            <m:num>
              <m:r>
                <m:t>1</m:t>
              </m:r>
            </m:num>
            <m:den>
              <m:r>
                <m:t>c · σ</m:t>
              </m:r>
              <m:sSub>
                <m:e>
                  <m:r>
                    <m:t/>
                  </m:r>
                </m:e>
                <m:sub>
                  <m:r>
                    <m:t>log</m:t>
                  </m:r>
                </m:sub>
              </m:sSub>
              <m:r>
                <m:t>√(2π)</m:t>
              </m:r>
            </m:den>
          </m:f>
          <m:r>
            <m:t>exp</m:t>
          </m:r>
          <m:d>
            <m:e>
              <m:r>
                <m:t>-</m:t>
              </m:r>
              <m:f>
                <m:num>
                  <m:r>
                    <m:t>(ln c - μ</m:t>
                  </m:r>
                  <m:sSub>
                    <m:e>
                      <m:r>
                        <m:t/>
                      </m:r>
                    </m:e>
                    <m:sub>
                      <m:r>
                        <m:t>log</m:t>
                      </m:r>
                    </m:sub>
                  </m:sSub>
                  <m:r>
                    <m:t>)</m:t>
                  </m:r>
                  <m:sSup>
                    <m:e>
                      <m:r>
                        <m:t/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2σ</m:t>
                  </m:r>
                  <m:sSub>
                    <m:e>
                      <m:r>
                        <m:t/>
                      </m:r>
                    </m:e>
                    <m:sub>
                      <m:r>
                        <m:t>log</m:t>
                      </m:r>
                    </m:sub>
                  </m:sSub>
                  <m:sSup>
                    <m:e>
                      <m:r>
                        <m:t/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,    c &gt; 0</m:t>
          </m:r>
        </m:oMath>
      </m:oMathPara>
      <w:r>
        <w:rPr>
          <w:rFonts w:ascii="Times New Roman" w:hAnsi="Times New Roman"/>
          <w:b/>
          <w:sz w:val="22"/>
        </w:rPr>
        <w:tab/>
        <w:tab/>
        <w:t>(S3)</w:t>
      </w:r>
    </w:p>
    <w:p>
      <w:r>
        <w:t>with weakly informative priors: μ_log ~ Normal(5, 5) and σ_log ~ Half-Normal(0, 2).</w:t>
      </w:r>
    </w:p>
    <w:p>
      <w:pPr>
        <w:spacing w:before="200" w:after="80"/>
      </w:pPr>
      <w:r>
        <w:rPr>
          <w:b/>
          <w:sz w:val="24"/>
        </w:rPr>
        <w:t>S1.3 MCMC Convergence Diagnostics and Model Comparison</w:t>
      </w:r>
    </w:p>
    <w:p>
      <w:r>
        <w:t>Models were estimated using Hamiltonian Monte Carlo (HMC) via Stan with four independent Markov chains, 4,000 iterations per chain (including 2,000 warm-up iterations), yielding 8,000 post-warmup posterior draws. Convergence was verified through potential scale reduction factors (R-hat &lt; 1.01) and effective sample sizes (Bulk ESS &gt; 3,000, Tail ESS &gt; 3,000) across all parameters (Table S1, Figure S1).</w:t>
      </w:r>
    </w:p>
    <w:p>
      <w:r>
        <w:t>Model selection was conducted using Pareto-smoothed importance-sampling leave-one-out cross-validation (PSIS-LOO; Vehtari et al., 2017). The Gamma distribution demonstrated superior out-of-sample predictive accuracy (ΔELPD = 0.0, LOOIC = 284.6) compared to the Lognormal model (ΔELPD = -4.2 ± 2.1, LOOIC = 293.0). Posterior predictive checks in the main manuscript confirmed that the fitted Gamma model accurately reproduced the observed empirical viral concentration distribution.</w:t>
      </w:r>
    </w:p>
    <w:p>
      <w:pPr>
        <w:spacing w:before="280" w:after="120"/>
      </w:pPr>
      <w:r>
        <w:rPr>
          <w:b/>
          <w:color w:val="003366"/>
          <w:sz w:val="26"/>
        </w:rPr>
        <w:t>Section S2. Dose-Response Parameter Sampling and Coordinate Transformations</w:t>
      </w:r>
    </w:p>
    <w:p>
      <w:pPr>
        <w:spacing w:before="200" w:after="80"/>
      </w:pPr>
      <w:r>
        <w:rPr>
          <w:b/>
          <w:sz w:val="24"/>
        </w:rPr>
        <w:t>S2.1 Bivariate Normal Transformation Framework</w:t>
      </w:r>
    </w:p>
    <w:p>
      <w:r>
        <w:t>In the human challenge dose–response analysis for HuNoV GII.4 reported by Teunis et al. (2020), joint parameter uncertainty was reported on an unconstrained transformed space to preserve the strong non-linear correlation between parameter pairs. Parameter sets were reconstructed using bivariate normal distributions (Havelaar et al., 2026).</w:t>
      </w:r>
    </w:p>
    <w:p>
      <w:r>
        <w:t>For the Kummer confluent hypergeometric infection model:</w:t>
      </w:r>
    </w:p>
    <w:p>
      <w:pPr>
        <w:spacing w:before="80" w:after="120"/>
        <w:jc w:val="center"/>
      </w:pPr>
      <m:oMathPara>
        <m:oMath>
          <m:r>
            <m:t>P</m:t>
          </m:r>
          <m:sSub>
            <m:e>
              <m:r>
                <m:t/>
              </m:r>
            </m:e>
            <m:sub>
              <m:r>
                <m:t>inf</m:t>
              </m:r>
            </m:sub>
          </m:sSub>
          <m:r>
            <m:t>(D | Se</m:t>
          </m:r>
          <m:sSup>
            <m:e>
              <m:r>
                <m:t/>
              </m:r>
            </m:e>
            <m:sup>
              <m:r>
                <m:t>+</m:t>
              </m:r>
            </m:sup>
          </m:sSup>
          <m:r>
            <m:t>) = 1 - </m:t>
          </m:r>
          <m:sSub>
            <m:e>
              <m:r>
                <m:t/>
              </m:r>
            </m:e>
            <m:sub>
              <m:r>
                <m:t>1</m:t>
              </m:r>
            </m:sub>
          </m:sSub>
          <m:r>
            <m:t>F</m:t>
          </m:r>
          <m:sSub>
            <m:e>
              <m:r>
                <m:t/>
              </m:r>
            </m:e>
            <m:sub>
              <m:r>
                <m:t>1</m:t>
              </m:r>
            </m:sub>
          </m:sSub>
          <m:r>
            <m:t>(α; α + β; -D)</m:t>
          </m:r>
        </m:oMath>
      </m:oMathPara>
      <w:r>
        <w:rPr>
          <w:rFonts w:ascii="Times New Roman" w:hAnsi="Times New Roman"/>
          <w:b/>
          <w:sz w:val="22"/>
        </w:rPr>
        <w:tab/>
        <w:tab/>
        <w:t>(S4)</w:t>
      </w:r>
    </w:p>
    <w:p>
      <w:r>
        <w:t>the parameters (α, β) were reparameterized into an expected probability scale u and total sum v:</w:t>
      </w:r>
    </w:p>
    <w:p>
      <w:pPr>
        <w:spacing w:before="80" w:after="120"/>
        <w:jc w:val="center"/>
      </w:pPr>
      <m:oMathPara>
        <m:oMath>
          <m:r>
            <m:t>u = </m:t>
          </m:r>
          <m:f>
            <m:num>
              <m:r>
                <m:t>α</m:t>
              </m:r>
            </m:num>
            <m:den>
              <m:r>
                <m:t>α + β</m:t>
              </m:r>
            </m:den>
          </m:f>
          <m:r>
            <m:t> ∈ (0, 1),    v = α + β &gt; 0</m:t>
          </m:r>
        </m:oMath>
      </m:oMathPara>
      <w:r>
        <w:rPr>
          <w:rFonts w:ascii="Times New Roman" w:hAnsi="Times New Roman"/>
          <w:b/>
          <w:sz w:val="22"/>
        </w:rPr>
        <w:tab/>
        <w:tab/>
        <w:t>(S5)</w:t>
      </w:r>
    </w:p>
    <w:p>
      <w:r>
        <w:t>For the dose-dependent conditional illness model:</w:t>
      </w:r>
    </w:p>
    <w:p>
      <w:pPr>
        <w:spacing w:before="80" w:after="120"/>
        <w:jc w:val="center"/>
      </w:pPr>
      <m:oMathPara>
        <m:oMath>
          <m:r>
            <m:t>P</m:t>
          </m:r>
          <m:sSub>
            <m:e>
              <m:r>
                <m:t/>
              </m:r>
            </m:e>
            <m:sub>
              <m:r>
                <m:t>ill|inf</m:t>
              </m:r>
            </m:sub>
          </m:sSub>
          <m:r>
            <m:t>(D | Se</m:t>
          </m:r>
          <m:sSup>
            <m:e>
              <m:r>
                <m:t/>
              </m:r>
            </m:e>
            <m:sup>
              <m:r>
                <m:t>+</m:t>
              </m:r>
            </m:sup>
          </m:sSup>
          <m:r>
            <m:t>) = 1 - </m:t>
          </m:r>
          <m:d>
            <m:e>
              <m:r>
                <m:t>1 + </m:t>
              </m:r>
              <m:f>
                <m:num>
                  <m:r>
                    <m:t>D</m:t>
                  </m:r>
                </m:num>
                <m:den>
                  <m:r>
                    <m:t>η</m:t>
                  </m:r>
                </m:den>
              </m:f>
            </m:e>
          </m:d>
          <m:sSup>
            <m:e>
              <m:r>
                <m:t/>
              </m:r>
            </m:e>
            <m:sup>
              <m:r>
                <m:t>-r</m:t>
              </m:r>
            </m:sup>
          </m:sSup>
        </m:oMath>
      </m:oMathPara>
      <w:r>
        <w:rPr>
          <w:rFonts w:ascii="Times New Roman" w:hAnsi="Times New Roman"/>
          <w:b/>
          <w:sz w:val="22"/>
        </w:rPr>
        <w:tab/>
        <w:tab/>
        <w:t>(S6)</w:t>
      </w:r>
    </w:p>
    <w:p>
      <w:r>
        <w:t>the parameters (r, η) were similarly reparameterized as:</w:t>
      </w:r>
    </w:p>
    <w:p>
      <w:pPr>
        <w:spacing w:before="80" w:after="120"/>
        <w:jc w:val="center"/>
      </w:pPr>
      <m:oMathPara>
        <m:oMath>
          <m:r>
            <m:t>u = </m:t>
          </m:r>
          <m:f>
            <m:num>
              <m:r>
                <m:t>r</m:t>
              </m:r>
            </m:num>
            <m:den>
              <m:r>
                <m:t>r + η</m:t>
              </m:r>
            </m:den>
          </m:f>
          <m:r>
            <m:t> ∈ (0, 1),    v = r + η &gt; 0</m:t>
          </m:r>
        </m:oMath>
      </m:oMathPara>
      <w:r>
        <w:rPr>
          <w:rFonts w:ascii="Times New Roman" w:hAnsi="Times New Roman"/>
          <w:b/>
          <w:sz w:val="22"/>
        </w:rPr>
        <w:tab/>
        <w:tab/>
        <w:t>(S7)</w:t>
      </w:r>
    </w:p>
    <w:p>
      <w:pPr>
        <w:spacing w:before="200" w:after="80"/>
      </w:pPr>
      <w:r>
        <w:rPr>
          <w:b/>
          <w:sz w:val="24"/>
        </w:rPr>
        <w:t>S2.2 Coordinate Transformations and Joint Sampling</w:t>
      </w:r>
    </w:p>
    <w:p>
      <w:r>
        <w:t>To place both parameters on an unconstrained real domain (-∞, +∞) suitable for bivariate normal sampling, u was transformed using the logit link and v using the natural logarithm:</w:t>
      </w:r>
    </w:p>
    <w:p>
      <w:pPr>
        <w:spacing w:before="80" w:after="120"/>
        <w:jc w:val="center"/>
      </w:pPr>
      <m:oMathPara>
        <m:oMath>
          <m:r>
            <m:t>w = logit(u) = ln</m:t>
          </m:r>
          <m:d>
            <m:e>
              <m:f>
                <m:num>
                  <m:r>
                    <m:t>u</m:t>
                  </m:r>
                </m:num>
                <m:den>
                  <m:r>
                    <m:t>1 - u</m:t>
                  </m:r>
                </m:den>
              </m:f>
            </m:e>
          </m:d>
        </m:oMath>
      </m:oMathPara>
      <w:r>
        <w:rPr>
          <w:rFonts w:ascii="Times New Roman" w:hAnsi="Times New Roman"/>
          <w:b/>
          <w:sz w:val="22"/>
        </w:rPr>
        <w:tab/>
        <w:tab/>
        <w:t>(S8)</w:t>
      </w:r>
    </w:p>
    <w:p>
      <w:pPr>
        <w:spacing w:before="80" w:after="120"/>
        <w:jc w:val="center"/>
      </w:pPr>
      <m:oMathPara>
        <m:oMath>
          <m:r>
            <m:t>z = ln(v)</m:t>
          </m:r>
        </m:oMath>
      </m:oMathPara>
      <w:r>
        <w:rPr>
          <w:rFonts w:ascii="Times New Roman" w:hAnsi="Times New Roman"/>
          <w:b/>
          <w:sz w:val="22"/>
        </w:rPr>
        <w:tab/>
        <w:tab/>
        <w:t>(S9)</w:t>
      </w:r>
    </w:p>
    <w:p>
      <w:r>
        <w:t>For each Monte Carlo uncertainty realization, paired transformed vectors y = (w, z)^T were drawn from a bivariate normal distribution:</w:t>
      </w:r>
    </w:p>
    <w:p>
      <w:pPr>
        <w:spacing w:before="80" w:after="120"/>
        <w:jc w:val="center"/>
      </w:pPr>
      <m:oMathPara>
        <m:oMath>
          <m:r>
            <m:t>y = </m:t>
          </m:r>
          <m:d>
            <m:e>
              <m:m>
                <m:mr>
                  <m:e>
                    <m:r>
                      <m:t>w</m:t>
                    </m:r>
                  </m:e>
                </m:mr>
                <m:mr>
                  <m:e>
                    <m:r>
                      <m:t>z</m:t>
                    </m:r>
                  </m:e>
                </m:mr>
              </m:m>
            </m:e>
          </m:d>
          <m:r>
            <m:t> ~ Normal</m:t>
          </m:r>
          <m:d>
            <m:e>
              <m:r>
                <m:t>μ = </m:t>
              </m:r>
              <m:d>
                <m:e>
                  <m:m>
                    <m:mr>
                      <m:e>
                        <m:r>
                          <m:t>μ</m:t>
                        </m:r>
                        <m:sSub>
                          <m:e>
                            <m:r>
                              <m:t/>
                            </m:r>
                          </m:e>
                          <m:sub>
                            <m:r>
                              <m:t>w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μ</m:t>
                        </m:r>
                        <m:sSub>
                          <m:e>
                            <m:r>
                              <m:t/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mr>
                  </m:m>
                </m:e>
              </m:d>
              <m:r>
                <m:t>,  Σ = </m:t>
              </m:r>
              <m:d>
                <m:e>
                  <m:m>
                    <m:mr>
                      <m:e>
                        <m:r>
                          <m:t>σ</m:t>
                        </m:r>
                        <m:sSub>
                          <m:e>
                            <m:r>
                              <m:t/>
                            </m:r>
                          </m:e>
                          <m:sub>
                            <m:r>
                              <m:t>w</m:t>
                            </m:r>
                          </m:sub>
                        </m:sSub>
                        <m:sSup>
                          <m:e>
                            <m:r>
                              <m:t/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  <m:e>
                        <m:r>
                          <m:t>σ</m:t>
                        </m:r>
                        <m:sSub>
                          <m:e>
                            <m:r>
                              <m:t/>
                            </m:r>
                          </m:e>
                          <m:sub>
                            <m:r>
                              <m:t>wz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σ</m:t>
                        </m:r>
                        <m:sSub>
                          <m:e>
                            <m:r>
                              <m:t/>
                            </m:r>
                          </m:e>
                          <m:sub>
                            <m:r>
                              <m:t>wz</m:t>
                            </m:r>
                          </m:sub>
                        </m:sSub>
                      </m:e>
                      <m:e>
                        <m:r>
                          <m:t>σ</m:t>
                        </m:r>
                        <m:sSub>
                          <m:e>
                            <m:r>
                              <m:t/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  <m:sSup>
                          <m:e>
                            <m:r>
                              <m:t/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</m:d>
        </m:oMath>
      </m:oMathPara>
      <w:r>
        <w:rPr>
          <w:rFonts w:ascii="Times New Roman" w:hAnsi="Times New Roman"/>
          <w:b/>
          <w:sz w:val="22"/>
        </w:rPr>
        <w:tab/>
        <w:tab/>
        <w:t>(S10)</w:t>
      </w:r>
    </w:p>
    <w:p>
      <w:pPr>
        <w:spacing w:before="200" w:after="80"/>
      </w:pPr>
      <w:r>
        <w:rPr>
          <w:b/>
          <w:sz w:val="24"/>
        </w:rPr>
        <w:t>S2.3 Analytical Back-Transformation</w:t>
      </w:r>
    </w:p>
    <w:p>
      <w:r>
        <w:t>The sampled transformed pairs (w, z) were back-transformed to the original parameter scale via analytical functions f₁(w, z) and f₂(w, z):</w:t>
      </w:r>
    </w:p>
    <w:p>
      <w:pPr>
        <w:spacing w:before="80" w:after="120"/>
        <w:jc w:val="center"/>
      </w:pPr>
      <m:oMathPara>
        <m:oMath>
          <m:r>
            <m:t>f</m:t>
          </m:r>
          <m:sSub>
            <m:e>
              <m:r>
                <m:t/>
              </m:r>
            </m:e>
            <m:sub>
              <m:r>
                <m:t>1</m:t>
              </m:r>
            </m:sub>
          </m:sSub>
          <m:r>
            <m:t>(w, z) = </m:t>
          </m:r>
          <m:f>
            <m:num>
              <m:r>
                <m:t>exp(z)</m:t>
              </m:r>
            </m:num>
            <m:den>
              <m:r>
                <m:t>1 + exp(-w)</m:t>
              </m:r>
            </m:den>
          </m:f>
        </m:oMath>
      </m:oMathPara>
      <w:r>
        <w:rPr>
          <w:rFonts w:ascii="Times New Roman" w:hAnsi="Times New Roman"/>
          <w:b/>
          <w:sz w:val="22"/>
        </w:rPr>
        <w:tab/>
        <w:tab/>
        <w:t>(S11)</w:t>
      </w:r>
    </w:p>
    <w:p>
      <w:pPr>
        <w:spacing w:before="80" w:after="120"/>
        <w:jc w:val="center"/>
      </w:pPr>
      <m:oMathPara>
        <m:oMath>
          <m:r>
            <m:t>f</m:t>
          </m:r>
          <m:sSub>
            <m:e>
              <m:r>
                <m:t/>
              </m:r>
            </m:e>
            <m:sub>
              <m:r>
                <m:t>2</m:t>
              </m:r>
            </m:sub>
          </m:sSub>
          <m:r>
            <m:t>(w, z) = </m:t>
          </m:r>
          <m:f>
            <m:num>
              <m:r>
                <m:t>exp(z)</m:t>
              </m:r>
            </m:num>
            <m:den>
              <m:r>
                <m:t>1 + exp(w)</m:t>
              </m:r>
            </m:den>
          </m:f>
        </m:oMath>
      </m:oMathPara>
      <w:r>
        <w:rPr>
          <w:rFonts w:ascii="Times New Roman" w:hAnsi="Times New Roman"/>
          <w:b/>
          <w:sz w:val="22"/>
        </w:rPr>
        <w:tab/>
        <w:tab/>
        <w:t>(S12)</w:t>
      </w:r>
    </w:p>
    <w:p>
      <w:r>
        <w:t>For the infection model, (α, β) = (f₁(w, z), f₂(w, z)). For the conditional illness model, (r, η) = (f₁(w, z), f₂(w, z)). The numerical values of mean vectors μ and covariance matrices Σ are summarized in Table S2.</w:t>
      </w:r>
    </w:p>
    <w:p>
      <w:pPr>
        <w:spacing w:before="200" w:after="80"/>
      </w:pPr>
      <w:r>
        <w:rPr>
          <w:b/>
          <w:sz w:val="24"/>
        </w:rPr>
        <w:t>S2.4 Host Genetic Susceptibility (Secretor Status) Parameter Optimization</w:t>
      </w:r>
    </w:p>
    <w:p>
      <w:r>
        <w:t>Human host secretor status (Se+ vs. Se-) was parameterized using epidemiological surveillance data from Messner et al. (2014), who reported a mean secretor-positive prevalence of 0.72 with a 95% credible interval of 0.63–0.80. A Beta distribution P(Se+) ~ Beta(α_se, β_se) was fitted to these summary statistics using non-linear least-squares optimization:</w:t>
      </w:r>
    </w:p>
    <w:p>
      <w:pPr>
        <w:spacing w:before="80" w:after="120"/>
        <w:jc w:val="center"/>
      </w:pPr>
      <m:oMathPara>
        <m:oMath>
          <m:r>
            <m:t>arg min</m:t>
          </m:r>
          <m:sSub>
            <m:e>
              <m:r>
                <m:t/>
              </m:r>
            </m:e>
            <m:sub>
              <m:r>
                <m:t>α, β</m:t>
              </m:r>
            </m:sub>
          </m:sSub>
          <m:d>
            <m:e>
              <m:d>
                <m:e>
                  <m:f>
                    <m:num>
                      <m:r>
                        <m:t>α</m:t>
                      </m:r>
                    </m:num>
                    <m:den>
                      <m:r>
                        <m:t>α + β</m:t>
                      </m:r>
                    </m:den>
                  </m:f>
                  <m:r>
                    <m:t> - 0.72</m:t>
                  </m:r>
                </m:e>
              </m:d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 + </m:t>
              </m:r>
              <m:d>
                <m:e>
                  <m:r>
                    <m:t>F</m:t>
                  </m:r>
                  <m:sSup>
                    <m:e>
                      <m:r>
                        <m:t/>
                      </m:r>
                    </m:e>
                    <m:sup>
                      <m:r>
                        <m:t>-1</m:t>
                      </m:r>
                    </m:sup>
                  </m:sSup>
                  <m:r>
                    <m:t>(0.025 | α, β) - 0.63</m:t>
                  </m:r>
                </m:e>
              </m:d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  <m:r>
                <m:t> + </m:t>
              </m:r>
              <m:d>
                <m:e>
                  <m:r>
                    <m:t>F</m:t>
                  </m:r>
                  <m:sSup>
                    <m:e>
                      <m:r>
                        <m:t/>
                      </m:r>
                    </m:e>
                    <m:sup>
                      <m:r>
                        <m:t>-1</m:t>
                      </m:r>
                    </m:sup>
                  </m:sSup>
                  <m:r>
                    <m:t>(0.975 | α, β) - 0.80</m:t>
                  </m:r>
                </m:e>
              </m:d>
              <m:sSup>
                <m:e>
                  <m:r>
                    <m:t/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  <w:r>
        <w:rPr>
          <w:rFonts w:ascii="Times New Roman" w:hAnsi="Times New Roman"/>
          <w:b/>
          <w:sz w:val="22"/>
        </w:rPr>
        <w:tab/>
        <w:tab/>
        <w:t>(S13)</w:t>
      </w:r>
    </w:p>
    <w:p>
      <w:r>
        <w:t>which yielded the optimized parameterization P(Se+) ~ Beta(76.0, 29.7).</w:t>
      </w:r>
    </w:p>
    <w:p>
      <w:pPr>
        <w:spacing w:before="280" w:after="120"/>
      </w:pPr>
      <w:r>
        <w:rPr>
          <w:b/>
          <w:color w:val="003366"/>
          <w:sz w:val="26"/>
        </w:rPr>
        <w:t>Supplementary Tables</w:t>
      </w:r>
    </w:p>
    <w:p>
      <w:pPr>
        <w:spacing w:before="160" w:after="80"/>
      </w:pPr>
      <w:r>
        <w:rPr>
          <w:b/>
        </w:rPr>
        <w:t xml:space="preserve">Table S1. </w:t>
      </w:r>
      <w:r>
        <w:t>Candidate initial concentration distributions, prior specifications, MCMC sampling convergence diagnostics, and PSIS-LOO model comparison metrics.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Candidate Model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Density f(c)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Priors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Posterior Median [95% CrI]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R-hat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Bulk ESS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Tail ESS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ΔELPD ± SE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LOOIC</w:t>
            </w:r>
          </w:p>
        </w:tc>
      </w:tr>
      <w:tr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Gamma (Retained)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k, θ Gamma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k ~ Exp(0.1)</w:t>
              <w:br/>
              <w:t>θ ~ Exp(0.001)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k = 0.152 [0.090, 0.239]</w:t>
              <w:br/>
              <w:t>θ = 2,875 [1,401, 7,488]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1.00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4,210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4,580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0.0 (Best)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284.6</w:t>
            </w:r>
          </w:p>
        </w:tc>
      </w:tr>
      <w:tr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Lognormal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μ, σ Lognormal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μ ~ Norm(5, 5)</w:t>
              <w:br/>
              <w:t>σ ~ HalfNorm(0, 2)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μ = 3.82 [3.12, 4.58]</w:t>
              <w:br/>
              <w:t>σ = 2.14 [1.71, 2.76]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1.00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3,890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4,120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-4.2 ± 2.1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293.0</w:t>
            </w:r>
          </w:p>
        </w:tc>
      </w:tr>
    </w:tbl>
    <w:p>
      <w:pPr>
        <w:spacing w:after="280"/>
      </w:pPr>
      <w:r>
        <w:rPr>
          <w:i/>
          <w:sz w:val="20"/>
        </w:rPr>
        <w:t xml:space="preserve">Note: </w:t>
      </w:r>
      <w:r>
        <w:rPr>
          <w:sz w:val="20"/>
        </w:rPr>
        <w:t>Models were fitted to 63 HuNoV GII-positive oysters (22 quantified, 41 left-censored at LOQ = 100 GC/oyster). ELPD = expected log pointwise predictive density; LOOIC = leave-one-out information criterion (-2 × ELPD).</w:t>
      </w:r>
    </w:p>
    <w:p>
      <w:pPr>
        <w:spacing w:before="160" w:after="80"/>
      </w:pPr>
      <w:r>
        <w:rPr>
          <w:b/>
        </w:rPr>
        <w:t xml:space="preserve">Table S2. </w:t>
      </w:r>
      <w:r>
        <w:t>Bivariate normal parameter estimates (mean vectors and covariance matrices) on the logit–log transformed scale for HuNoV GII dose–response modeling.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Model Component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Transformed Variables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Mean Vector (μ)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Covariance Matrix (Σ)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Original Parameter Median [95% CrI]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Data Source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Infection Model</w:t>
              <w:br/>
              <w:t>(Kummer ₁F₁)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w = logit[α/(α+β)]</w:t>
              <w:br/>
              <w:t>z = ln(α+β)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μ_w = -3.16</w:t>
              <w:br/>
              <w:t>μ_z = 1.82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Var(w) = 2.88</w:t>
              <w:br/>
              <w:t>Var(z) = 3.64</w:t>
              <w:br/>
              <w:t>Cov(w,z) = -2.01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α = 0.233 [0.012, 4.85]</w:t>
              <w:br/>
              <w:t>β = 5.90 [0.101, 251]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CCCCCC" w:sz="4"/>
            </w:tcBorders>
          </w:tcPr>
          <w:p>
            <w:pPr>
              <w:spacing w:after="40" w:before="40"/>
            </w:pPr>
            <w:r>
              <w:t>Teunis et al. (2020),</w:t>
              <w:br/>
              <w:t>Table A14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Conditional Illness Model</w:t>
              <w:br/>
              <w:t>(P_ill|inf)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w = logit[r/(r+η)]</w:t>
              <w:br/>
              <w:t>z = ln(r+η)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μ_w = 0.414</w:t>
              <w:br/>
              <w:t>μ_z = 1.73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Var(w) = 7.76</w:t>
              <w:br/>
              <w:t>Var(z) = 6.19</w:t>
              <w:br/>
              <w:t>Cov(w,z) = -1.67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r = 1.58 [0.001, 416]</w:t>
              <w:br/>
              <w:t>η = 2.02 [0.009, 279]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Teunis et al. (2020),</w:t>
              <w:br/>
              <w:t>Table A14</w:t>
            </w:r>
          </w:p>
        </w:tc>
      </w:tr>
    </w:tbl>
    <w:p>
      <w:pPr>
        <w:spacing w:after="280"/>
      </w:pPr>
      <w:r>
        <w:rPr>
          <w:i/>
          <w:sz w:val="20"/>
        </w:rPr>
        <w:t xml:space="preserve">Note: </w:t>
      </w:r>
      <w:r>
        <w:rPr>
          <w:sz w:val="20"/>
        </w:rPr>
        <w:t>Parameters were back-transformed using f₁(w, z) = exp(z) / (1 + exp(-w)) and f₂(w, z) = exp(z) / (1 + exp(w)), strictly preserving the empirical negative correlation between shape and scale parameters.</w:t>
      </w:r>
    </w:p>
    <w:p>
      <w:pPr>
        <w:spacing w:before="160" w:after="80"/>
      </w:pPr>
      <w:r>
        <w:rPr>
          <w:b/>
        </w:rPr>
        <w:t xml:space="preserve">Table S3. </w:t>
      </w:r>
      <w:r>
        <w:t>Thermal inactivation dynamic kinetic parameters and posterior distributions.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Model Type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Inactivation Formulation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Parameter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Description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Posterior Median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0F4F8"/>
            <w:tcBorders>
              <w:top w:val="single" w:color="000000" w:sz="12"/>
              <w:bottom w:val="single" w:color="000000" w:sz="8"/>
            </w:tcBorders>
          </w:tcPr>
          <w:p>
            <w:pPr>
              <w:spacing w:after="40" w:before="40"/>
            </w:pPr>
            <w:r>
              <w:rPr>
                <w:b/>
              </w:rPr>
              <w:t>95% Credible Interval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Primary Model</w:t>
              <w:br/>
              <w:t>(Dynamic Geeraerd)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dN_G/dt = -k_G(t)[N_G - N_res]</w:t>
              <w:br/>
              <w:t>log₁₀D_G(T) = log₁₀D₅₇ - (T-57)/z_G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D₅₇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Reference D-value at 57°C (min)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8.43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[5.46, 9.94]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z_G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Thermal sensitivity parameter (°C)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6.71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[3.98, 9.32]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log₁₀(N₀)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Initial virus population state (log₁₀ PFU/g)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3.46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[3.19, 3.70]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888888" w:sz="8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888888" w:sz="8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888888" w:sz="8"/>
            </w:tcBorders>
          </w:tcPr>
          <w:p>
            <w:pPr>
              <w:spacing w:after="40" w:before="40"/>
            </w:pPr>
            <w:r>
              <w:t>log₁₀(N_res)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888888" w:sz="8"/>
            </w:tcBorders>
          </w:tcPr>
          <w:p>
            <w:pPr>
              <w:spacing w:after="40" w:before="40"/>
            </w:pPr>
            <w:r>
              <w:t>Residual resistant tail population (log₁₀ PFU/g)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888888" w:sz="8"/>
            </w:tcBorders>
          </w:tcPr>
          <w:p>
            <w:pPr>
              <w:spacing w:after="40" w:before="40"/>
            </w:pPr>
            <w:r>
              <w:t>0.90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888888" w:sz="8"/>
            </w:tcBorders>
          </w:tcPr>
          <w:p>
            <w:pPr>
              <w:spacing w:after="40" w:before="40"/>
            </w:pPr>
            <w:r>
              <w:t>[0.37, 1.36]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Sensitivity Model</w:t>
              <w:br/>
              <w:t>(Mafart–Weibull)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log₁₀(N_W/N₀) = -[t / D_W(T)]^p</w:t>
              <w:br/>
              <w:t>log₁₀D_W(T) = log₁₀D₆₀ - (T-60)/z_W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D₆₀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Reference scale reduction time at 60°C (min)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4.30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[1.86, 10.79]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z_W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Temperature coefficient for D-value (°C)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30.10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EEEEEE" w:sz="4"/>
            </w:tcBorders>
          </w:tcPr>
          <w:p>
            <w:pPr>
              <w:spacing w:after="40" w:before="40"/>
            </w:pPr>
            <w:r>
              <w:t>[23.14, 42.04]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p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Weibull shape parameter (p &lt; 1: tailing concavity)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0.387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val="single" w:color="000000" w:sz="12"/>
            </w:tcBorders>
          </w:tcPr>
          <w:p>
            <w:pPr>
              <w:spacing w:after="40" w:before="40"/>
            </w:pPr>
            <w:r>
              <w:t>[0.370, 0.404]</w:t>
            </w:r>
          </w:p>
        </w:tc>
      </w:tr>
    </w:tbl>
    <w:p>
      <w:pPr>
        <w:spacing w:after="280"/>
      </w:pPr>
      <w:r>
        <w:rPr>
          <w:i/>
          <w:sz w:val="20"/>
        </w:rPr>
        <w:t xml:space="preserve">Note: </w:t>
      </w:r>
      <w:r>
        <w:rPr>
          <w:sz w:val="20"/>
        </w:rPr>
        <w:t>Geeraerd parameters were adopted from Dicker et al. (2026); Mafart–Weibull parameters were derived from the molluscan shellfish Bayesian meta-analysis of Wu et al. (2026).</w:t>
      </w:r>
    </w:p>
    <w:p>
      <w:pPr>
        <w:spacing w:before="280" w:after="120"/>
      </w:pPr>
      <w:r>
        <w:rPr>
          <w:b/>
          <w:color w:val="003366"/>
          <w:sz w:val="26"/>
        </w:rPr>
        <w:t>Supplementary Figures</w:t>
      </w:r>
    </w:p>
    <w:p>
      <w:pPr>
        <w:spacing w:before="16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mcmc_trace_diagnos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b/>
          <w:sz w:val="20"/>
        </w:rPr>
        <w:t xml:space="preserve">Figure S1. MCMC sampling trace plots and convergence diagnostics for candidate positive concentration models. </w:t>
      </w:r>
      <w:r>
        <w:rPr>
          <w:sz w:val="20"/>
        </w:rPr>
        <w:t>(A) Trace plots for the Bayesian Gamma model parameters (log-mean intercept b_Intercept and shape parameter across four independent chains with 2,000 warm-up and 2,000 post-warmup iterations); (B) Trace plots for the Bayesian Lognormal model parameters (log-mean intercept b_Intercept and scale parameter sigma). Complete chain mixing, stationarity, and absence of divergence confirm robust sampling convergence across all chains (all R-hat = 1.00).</w:t>
      </w:r>
    </w:p>
    <w:p>
      <w:pPr>
        <w:spacing w:before="16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numerical_converg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b/>
          <w:sz w:val="20"/>
        </w:rPr>
        <w:t xml:space="preserve">Figure S2. Numerical convergence analysis of the two-dimensional Monte Carlo simulation. </w:t>
      </w:r>
      <w:r>
        <w:rPr>
          <w:sz w:val="20"/>
        </w:rPr>
        <w:t>Evaluation of simulation stability and numerical precision across Monte Carlo sample sizes. (A) Convergence of cumulative mean individual illness risk per serving as a function of the inner variability iterations (N_var up to 10,000 iterations); (B) Convergence of the 95% uncertainty credible intervals of national annual illness burden as a function of outer uncertainty realizations (N_unc up to 2,000 realizations). The asymptotic stabilization of summary percentiles demonstrates that N_var = 10,000 and N_unc = 2,000 provide robust numerical stability with Monte Carlo standard error &lt; 1%.</w:t>
      </w:r>
    </w:p>
    <w:p>
      <w:pPr>
        <w:spacing w:before="280" w:after="120"/>
      </w:pPr>
      <w:r>
        <w:rPr>
          <w:b/>
          <w:color w:val="003366"/>
          <w:sz w:val="26"/>
        </w:rPr>
        <w:t>Supplementary References</w:t>
      </w:r>
    </w:p>
    <w:p>
      <w:pPr>
        <w:spacing w:after="80"/>
        <w:ind w:left="720" w:hanging="720"/>
      </w:pPr>
      <w:r>
        <w:rPr>
          <w:sz w:val="20"/>
        </w:rPr>
        <w:t>DePaola, A., Jones, J. L., Woods, J., Burkhardt, W., Calci, K. R., Krantz, J. A., Bowers, J. C., Kasturi, K., Byars, R. H., Jacobs, E., Williams-Hill, D., &amp; Nabe, K. (2010). Bacterial and viral pathogens in live oysters: 2007 United States market survey. Journal of Food Protection, 73(11), 1989–1996.</w:t>
      </w:r>
    </w:p>
    <w:p>
      <w:pPr>
        <w:spacing w:after="80"/>
        <w:ind w:left="720" w:hanging="720"/>
      </w:pPr>
      <w:r>
        <w:rPr>
          <w:sz w:val="20"/>
        </w:rPr>
        <w:t>Dicker, N. M., et al. (2026). Non-isothermal thermal inactivation kinetics of Tulane virus in Eastern oyster (Crassostrea virginica) digestive diverticula. (In preparation / Companion study).</w:t>
      </w:r>
    </w:p>
    <w:p>
      <w:pPr>
        <w:spacing w:after="80"/>
        <w:ind w:left="720" w:hanging="720"/>
      </w:pPr>
      <w:r>
        <w:rPr>
          <w:sz w:val="20"/>
        </w:rPr>
        <w:t>Gabry, J., Simpson, D., Vehtari, A., Betancourt, M., &amp; Gelman, A. (2019). Visualization in Bayesian workflow. Journal of the Royal Statistical Society: Series A (Statistics in Society), 182(2), 389–402.</w:t>
      </w:r>
    </w:p>
    <w:p>
      <w:pPr>
        <w:spacing w:after="80"/>
        <w:ind w:left="720" w:hanging="720"/>
      </w:pPr>
      <w:r>
        <w:rPr>
          <w:sz w:val="20"/>
        </w:rPr>
        <w:t>Havelaar, A. H., et al. (2026). Quantitative microbial risk assessment of norovirus in shellfish harvesting waters. (Submitted / In review).</w:t>
      </w:r>
    </w:p>
    <w:p>
      <w:pPr>
        <w:spacing w:after="80"/>
        <w:ind w:left="720" w:hanging="720"/>
      </w:pPr>
      <w:r>
        <w:rPr>
          <w:sz w:val="20"/>
        </w:rPr>
        <w:t>Messner, M. J., Berger, P., &amp; Nappier, S. P. (2014). Fractional Poisson - A simple model for human norovirus infectivity. Risk Analysis, 34(5), 958–974.</w:t>
      </w:r>
    </w:p>
    <w:p>
      <w:pPr>
        <w:spacing w:after="80"/>
        <w:ind w:left="720" w:hanging="720"/>
      </w:pPr>
      <w:r>
        <w:rPr>
          <w:sz w:val="20"/>
        </w:rPr>
        <w:t>Mirmahdi, S., Dicker, N. M., et al. (2025). Quantifying the ratio of genome copies to infectious plaque-forming units for Tulane virus as a human norovirus surrogate. Food Microbiology, 120, 104478.</w:t>
      </w:r>
    </w:p>
    <w:p>
      <w:pPr>
        <w:spacing w:after="80"/>
        <w:ind w:left="720" w:hanging="720"/>
      </w:pPr>
      <w:r>
        <w:rPr>
          <w:sz w:val="20"/>
        </w:rPr>
        <w:t>Nalanda, M., et al. (2026). Heat penetration and dynamic internal temperature profiles during baking and steaming of Eastern oysters. (Companion experimental study).</w:t>
      </w:r>
    </w:p>
    <w:p>
      <w:pPr>
        <w:spacing w:after="80"/>
        <w:ind w:left="720" w:hanging="720"/>
      </w:pPr>
      <w:r>
        <w:rPr>
          <w:sz w:val="20"/>
        </w:rPr>
        <w:t>Nishida, T., Kimura, H., Saitoh, M., Shinohara, M., Kato, M., Fukuda, S., Munemura, T., Mikami, T., &amp; Kawamoto, A. (2003). Detection, quantitation, and phylogenetic analysis of noroviruses in Japanese oysters. Applied and Environmental Microbiology, 69(9), 5709–5714.</w:t>
      </w:r>
    </w:p>
    <w:p>
      <w:pPr>
        <w:spacing w:after="80"/>
        <w:ind w:left="720" w:hanging="720"/>
      </w:pPr>
      <w:r>
        <w:rPr>
          <w:sz w:val="20"/>
        </w:rPr>
        <w:t>Teunis, P. F., Moe, C. L., Liu, P., Miller, S. E., Lindesmith, L., Baric, R. S., Le Pendu, J., &amp; Calderon, R. L. (2008). Norwalk virus: How infective is it? Journal of Medical Virology, 80(8), 1468–1476.</w:t>
      </w:r>
    </w:p>
    <w:p>
      <w:pPr>
        <w:spacing w:after="80"/>
        <w:ind w:left="720" w:hanging="720"/>
      </w:pPr>
      <w:r>
        <w:rPr>
          <w:sz w:val="20"/>
        </w:rPr>
        <w:t>Teunis, P. F., Sukhrie, F. H., Vennema, H., Bogerman, J., Beersma, M. F., &amp; Koopmans, M. P. (2020). Human norovirus infection and illness: Dose-response equations for GII.4. Epidemics, 32, 100398.</w:t>
      </w:r>
    </w:p>
    <w:p>
      <w:pPr>
        <w:spacing w:after="80"/>
        <w:ind w:left="720" w:hanging="720"/>
      </w:pPr>
      <w:r>
        <w:rPr>
          <w:sz w:val="20"/>
        </w:rPr>
        <w:t>Vehtari, A., Gelman, A., &amp; Gabry, J. (2017). Practical Bayesian model evaluation using leave-one-out cross-validation and WAIC. Statistics and Computing, 27(5), 1413–1432.</w:t>
      </w:r>
    </w:p>
    <w:p>
      <w:pPr>
        <w:spacing w:after="80"/>
        <w:ind w:left="720" w:hanging="720"/>
      </w:pPr>
      <w:r>
        <w:rPr>
          <w:sz w:val="20"/>
        </w:rPr>
        <w:t>Wu, W., et al. (2026). Bayesian meta-analysis of thermal inactivation kinetics of human norovirus surrogates in molluscan shellfish. Risk Analysis, (Companion study).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2222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