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sz w:val="21"/>
        </w:rPr>
        <w:t xml:space="preserve">Table 1. </w:t>
      </w:r>
      <w:r>
        <w:rPr>
          <w:sz w:val="21"/>
        </w:rPr>
        <w:t>Model parameters, mathematical formulations, and data sources for quantitative microbial risk assessment of human norovirus GII in raw and cooked oysters.</w:t>
      </w:r>
    </w:p>
    <w:p>
      <w:pPr>
        <w:spacing w:before="0" w:after="160"/>
      </w:pPr>
      <w:r>
        <w:rPr>
          <w:i/>
          <w:color w:val="333333"/>
          <w:sz w:val="17"/>
        </w:rPr>
        <w:t>Note: Arranged in the sequential workflow order of Figure 1 (Exposure Assessment [Stages 1–4] → Hazard Characterization [Stage 5] → Risk Characterization [Stage 6]). Full mathematical model equations are explicitly formulated in section headers and model description rows; each individual parameter is assigned a dedicated row with separated Mean and 95% Uncertainty Interval columns. Sources are cited with full author and publication details.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one"/>
          <w:bottom w:val="single" w:sz="12" w:space="0" w:color="000000"/>
          <w:right w:val="none"/>
          <w:insideH w:val="single" w:sz="4" w:space="0" w:color="E5E7EB"/>
          <w:insideV w:val="none"/>
        </w:tblBorders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3024"/>
            <w:tcMar>
              <w:top w:w="70" w:type="dxa"/>
              <w:bottom w:w="70" w:type="dxa"/>
              <w:left w:w="50" w:type="dxa"/>
              <w:right w:w="50" w:type="dxa"/>
            </w:tcMar>
            <w:tcBorders>
              <w:top w:val="single" w:sz="12" w:space="0" w:color="000000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Parameter &amp; Description</w:t>
            </w:r>
          </w:p>
        </w:tc>
        <w:tc>
          <w:tcPr>
            <w:tcW w:type="dxa" w:w="1080"/>
            <w:tcMar>
              <w:top w:w="70" w:type="dxa"/>
              <w:bottom w:w="70" w:type="dxa"/>
              <w:left w:w="50" w:type="dxa"/>
              <w:right w:w="50" w:type="dxa"/>
            </w:tcMar>
            <w:tcBorders>
              <w:top w:val="single" w:sz="12" w:space="0" w:color="000000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Symbol</w:t>
            </w:r>
          </w:p>
        </w:tc>
        <w:tc>
          <w:tcPr>
            <w:tcW w:type="dxa" w:w="3960"/>
            <w:tcMar>
              <w:top w:w="70" w:type="dxa"/>
              <w:bottom w:w="70" w:type="dxa"/>
              <w:left w:w="50" w:type="dxa"/>
              <w:right w:w="50" w:type="dxa"/>
            </w:tcMar>
            <w:tcBorders>
              <w:top w:val="single" w:sz="12" w:space="0" w:color="000000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Distribution / Mathematical Formulation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50" w:type="dxa"/>
              <w:right w:w="50" w:type="dxa"/>
            </w:tcMar>
            <w:tcBorders>
              <w:top w:val="single" w:sz="12" w:space="0" w:color="000000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Mean / Point Estimate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50" w:type="dxa"/>
              <w:right w:w="50" w:type="dxa"/>
            </w:tcMar>
            <w:tcBorders>
              <w:top w:val="single" w:sz="12" w:space="0" w:color="000000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95% Uncertainty Interval</w:t>
            </w:r>
          </w:p>
        </w:tc>
        <w:tc>
          <w:tcPr>
            <w:tcW w:type="dxa" w:w="792"/>
            <w:tcMar>
              <w:top w:w="70" w:type="dxa"/>
              <w:bottom w:w="70" w:type="dxa"/>
              <w:left w:w="50" w:type="dxa"/>
              <w:right w:w="50" w:type="dxa"/>
            </w:tcMar>
            <w:tcBorders>
              <w:top w:val="single" w:sz="12" w:space="0" w:color="000000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Dimension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50" w:type="dxa"/>
              <w:right w:w="50" w:type="dxa"/>
            </w:tcMar>
            <w:tcBorders>
              <w:top w:val="single" w:sz="12" w:space="0" w:color="000000"/>
              <w:bottom w:val="single" w:sz="8" w:space="0" w:color="000000"/>
              <w:left w:val="none"/>
              <w:right w:val="non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Reference</w:t>
            </w:r>
          </w:p>
        </w:tc>
      </w:tr>
      <w:tr>
        <w:tc>
          <w:tcPr>
            <w:tcW w:type="dxa" w:w="14112"/>
            <w:gridSpan w:val="7"/>
            <w:tcMar>
              <w:top w:w="8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1. Harvest &amp; Initial Contamination (Figure 1: State 1 — Exposure Assessment)</w:t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/>
                <w:i/>
                <w:sz w:val="16"/>
              </w:rPr>
              <w:t xml:space="preserve">Model: </w:t>
            </w:r>
            <m:oMath>
              <m:sSub>
                <m:e>
                  <m:r>
                    <m:t>P</m:t>
                  </m:r>
                </m:e>
                <m:sub>
                  <m:r>
                    <m:t>prev</m:t>
                  </m:r>
                </m:sub>
              </m:sSub>
              <m:r>
                <m:t xml:space="preserve"> ~ Beta(α, β);  </m:t>
              </m:r>
              <m:sSub>
                <m:e>
                  <m:r>
                    <m:t>C</m:t>
                  </m:r>
                </m:e>
                <m:sub>
                  <m:r>
                    <m:t>+</m:t>
                  </m:r>
                </m:sub>
              </m:sSub>
              <m:r>
                <m:t xml:space="preserve"> ~ Gamma(k, θ);  f(</m:t>
              </m:r>
              <m:sSub>
                <m:e>
                  <m:r>
                    <m:t>C</m:t>
                  </m:r>
                </m:e>
                <m:sub>
                  <m:r>
                    <m:t>+</m:t>
                  </m:r>
                </m:sub>
              </m:sSub>
              <m:r>
                <m:t xml:space="preserve">) = 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Γ(k)·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k</m:t>
                      </m:r>
                    </m:sup>
                  </m:sSup>
                </m:den>
              </m:f>
              <m:r>
                <m:t xml:space="preserve"> · (</m:t>
              </m:r>
              <m:sSub>
                <m:e>
                  <m:r>
                    <m:t>C</m:t>
                  </m:r>
                </m:e>
                <m:sub>
                  <m:r>
                    <m:t>+</m:t>
                  </m:r>
                </m:sub>
              </m:sSub>
              <m:sSup>
                <m:e>
                  <m:r>
                    <m:t>)</m:t>
                  </m:r>
                </m:e>
                <m:sup>
                  <m:r>
                    <m:t>k-1</m:t>
                  </m:r>
                </m:sup>
              </m:sSup>
              <m:r>
                <m:t xml:space="preserve"> · exp(-</m:t>
              </m:r>
              <m:sSub>
                <m:e>
                  <m:r>
                    <m:t>C</m:t>
                  </m:r>
                </m:e>
                <m:sub>
                  <m:r>
                    <m:t>+</m:t>
                  </m:r>
                </m:sub>
              </m:sSub>
              <m:r>
                <m:t xml:space="preserve">/θ)</m:t>
              </m:r>
            </m:oMath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HuNoV GII harvest prevalence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prev</m:t>
                  </m:r>
                </m:sub>
              </m:sSub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Beta(64, 1641) conjugate posterior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0.0375 (3.75%)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[0.0291, 0.0470]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U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Nishida et al. (2003, 2007)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Concentration in contaminated oysters (GC/oyster)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+</m:t>
                  </m:r>
                </m:sub>
              </m:sSub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+</m:t>
                  </m:r>
                </m:sub>
              </m:sSub>
              <m:r>
                <m:t xml:space="preserve"> ~ Gamma(k, θ) conditional on presence</m:t>
              </m:r>
            </m:oMath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U, V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Nishida et al. (2003, 2007)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Gamma shape parameter (dimensionless)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r>
                <m:t xml:space="preserve">k</m:t>
              </m:r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Joint Bayesian posterior marginal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0.152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[0.090, 0.239]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U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Nishida et al. (2003, 2007)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Gamma scale parameter (GC/oyster)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r>
                <m:t xml:space="preserve">θ</m:t>
              </m:r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Joint Bayesian posterior marginal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2,875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[1,401, 7,488]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U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Nishida et al. (2003, 2007)</w:t>
            </w:r>
          </w:p>
        </w:tc>
      </w:tr>
      <w:tr>
        <w:tc>
          <w:tcPr>
            <w:tcW w:type="dxa" w:w="14112"/>
            <w:gridSpan w:val="7"/>
            <w:tcMar>
              <w:top w:w="8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2. Genome Copy to Infectious Virion Conversion (Figure 1: State 2 — Exposure Assessment)</w:t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/>
                <w:i/>
                <w:sz w:val="16"/>
              </w:rPr>
              <w:t xml:space="preserve">Model: </w:t>
            </w:r>
            <m:oMath>
              <m:sSub>
                <m:e>
                  <m: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 xml:space="preserve">(Q) ~ Uniform(3.39, 4.22);  Q = </m:t>
              </m:r>
              <m:sSup>
                <m:e>
                  <m:r>
                    <m:t>10</m:t>
                  </m:r>
                </m:e>
                <m:sup>
                  <m:r>
                    <m:t>log₁₀(Q)</m:t>
                  </m:r>
                </m:sup>
              </m:sSup>
              <m:r>
                <m:t xml:space="preserve">;  </m:t>
              </m:r>
              <m:sSub>
                <m:e>
                  <m:r>
                    <m:t>D</m:t>
                  </m:r>
                </m:e>
                <m:sub>
                  <m:r>
                    <m:t>precook</m:t>
                  </m:r>
                </m:sub>
              </m:sSub>
              <m:r>
                <m:t xml:space="preserve"> = </m:t>
              </m:r>
              <m:sSub>
                <m:e>
                  <m:r>
                    <m:t>C</m:t>
                  </m:r>
                </m:e>
                <m:sub>
                  <m:r>
                    <m:t>oyster</m:t>
                  </m:r>
                </m:sub>
              </m:sSub>
              <m:r>
                <m:t xml:space="preserve"> / Q</m:t>
              </m:r>
            </m:oMath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log10 virion conversion ratio (log10[GC / virion])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sSub>
                <m:e>
                  <m: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 xml:space="preserve">(Q)</m:t>
              </m:r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Uniform(3.39, 4.22)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3.805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[3.39, 4.22]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U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Mirmahdi et al. (2025)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Direct virion conversion ratio (GC / virion)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r>
                <m:t xml:space="preserve">Q</m:t>
              </m:r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t>log₁₀(Q)</m:t>
                  </m:r>
                </m:sup>
              </m:sSup>
              <m:r>
                <m:t xml:space="preserve"> antilog transformation</m:t>
              </m:r>
            </m:oMath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6,383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[2,455, 16,596]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U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Mirmahdi et al. (2025)</w:t>
            </w:r>
          </w:p>
        </w:tc>
      </w:tr>
      <w:tr>
        <w:tc>
          <w:tcPr>
            <w:tcW w:type="dxa" w:w="14112"/>
            <w:gridSpan w:val="7"/>
            <w:tcMar>
              <w:top w:w="8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3. Cooking Preparation &amp; Dynamic Thermal Inactivation (Figure 1: State 3 — Exposure Assessment)</w:t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/>
                <w:i/>
                <w:sz w:val="16"/>
              </w:rPr>
              <w:t xml:space="preserve">Model: </w:t>
            </w:r>
            <m:oMath>
              <m:r>
                <m:t xml:space="preserve">Geeraerd: </m:t>
              </m:r>
              <m:f>
                <m:num>
                  <m:r>
                    <m:t xml:space="preserve">dN</m:t>
                  </m:r>
                </m:num>
                <m:den>
                  <m:r>
                    <m:t xml:space="preserve">dt</m:t>
                  </m:r>
                </m:den>
              </m:f>
              <m:r>
                <m:t xml:space="preserve"> = -</m:t>
              </m:r>
              <m:sSub>
                <m:e>
                  <m:r>
                    <m:t>k</m:t>
                  </m:r>
                </m:e>
                <m:sub>
                  <m:r>
                    <m:t>max</m:t>
                  </m:r>
                </m:sub>
              </m:sSub>
              <m:r>
                <m:t xml:space="preserve">(T(t)) · 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1 + 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-α₀</m:t>
                      </m:r>
                    </m:sup>
                  </m:sSup>
                </m:den>
              </m:f>
              <m:r>
                <m:t xml:space="preserve"> · (N - </m:t>
              </m:r>
              <m:sSub>
                <m:e>
                  <m:r>
                    <m:t>N</m:t>
                  </m:r>
                </m:e>
                <m:sub>
                  <m:r>
                    <m:t>min</m:t>
                  </m:r>
                </m:sub>
              </m:sSub>
              <m:r>
                <m:t xml:space="preserve">);  </m:t>
              </m:r>
              <m:r>
                <m:t xml:space="preserve">Mafart: </m:t>
              </m:r>
              <m:sSub>
                <m:e>
                  <m: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 xml:space="preserve">(S(t)) = -[∫ dt / δ(T(t))]</m:t>
              </m:r>
              <m:sSup>
                <m:e>
                  <m:r>
                    <m:t/>
                  </m:r>
                </m:e>
                <m:sup>
                  <m:r>
                    <m:t>p</m:t>
                  </m:r>
                </m:sup>
              </m:sSup>
            </m:oMath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Cooking preparation regimes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r>
                <m:t xml:space="preserve">—</m:t>
              </m:r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Baking (230°C / 450°F) and steaming (100°C / 212°F)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Discrete scenarios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Scenario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This study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Oyster commercial size classes (total weight, g)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r>
                <m:t xml:space="preserve">—</m:t>
              </m:r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Small (35.6 ± 4.2 g), Medium (67.4 ± 6.1 g), Large (124.9 ± 11.3 g)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Discrete scenarios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Scenario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This study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Cooking heating duration (min)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r>
                <m:t xml:space="preserve">t</m:t>
              </m:r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Steaming: 0–16 min (2-min steps); Baking: 0–10 min (2-min steps)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Discrete scenarios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Scenario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This study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Internal thermocouple time–temperature histories (°C)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r>
                <m:t xml:space="preserve">T(t)</m:t>
              </m:r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Dynamic core temperature series for 3 sizes × 2 methods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Empirical profiles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Empirical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Nalanda et al. (2026)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Baseline model: Dynamic Geeraerd with tailing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r>
                <m:t xml:space="preserve">—</m:t>
              </m:r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max</m:t>
                  </m:r>
                </m:sub>
              </m:sSub>
              <m:r>
                <m:t xml:space="preserve">(T(t)) = </m:t>
              </m:r>
              <m:f>
                <m:num>
                  <m:r>
                    <m:t xml:space="preserve">ln(10)</m:t>
                  </m:r>
                </m:num>
                <m:den>
                  <m:sSub>
                    <m:e>
                      <m:r>
                        <m:t>D</m:t>
                      </m:r>
                    </m:e>
                    <m:sub>
                      <m:r>
                        <m:t>57°C</m:t>
                      </m:r>
                    </m:sub>
                  </m:sSub>
                  <m:r>
                    <m:t xml:space="preserve"> · 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-(T(t)-57)/z</m:t>
                      </m:r>
                    </m:sup>
                  </m:sSup>
                </m:den>
              </m:f>
            </m:oMath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Structural model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Model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Dicker et al. (2026)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Reference D-value at 57°C (min)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57°C</m:t>
                  </m:r>
                </m:sub>
              </m:sSub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Log-linear inactivation rate at reference temperature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8.43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[5.46, 9.94]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U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Dicker et al. (2026)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Thermal sensitivity coefficient (°C)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r>
                <m:t xml:space="preserve">z</m:t>
              </m:r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Temperature increase required for 1-log reduction in D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6.71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[3.98, 9.32]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U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Dicker et al. (2026)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Initial physiological state parameter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sSub>
                <m:e>
                  <m: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 xml:space="preserve">(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t xml:space="preserve">)</m:t>
              </m:r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Initial virus population state (log10 copies/g)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3.46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[3.19, 3.70]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U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Dicker et al. (2026)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Residual tailing density level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sSub>
                <m:e>
                  <m: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 xml:space="preserve">(</m:t>
              </m:r>
              <m:sSub>
                <m:e>
                  <m:r>
                    <m:t>N</m:t>
                  </m:r>
                </m:e>
                <m:sub>
                  <m:r>
                    <m:t>min</m:t>
                  </m:r>
                </m:sub>
              </m:sSub>
              <m:r>
                <m:t xml:space="preserve">)</m:t>
              </m:r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Asymptotic resistant tail density (log10 copies/g)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0.90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[0.37, 1.36]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U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Dicker et al. (2026)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Sensitivity model: Non-isothermal Mafart-Weibull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r>
                <m:t xml:space="preserve">—</m:t>
              </m:r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m:oMath>
              <m:r>
                <m:t xml:space="preserve">δ(T(t)) = </m:t>
              </m:r>
              <m:sSub>
                <m:e>
                  <m:r>
                    <m:t>D</m:t>
                  </m:r>
                </m:e>
                <m:sub>
                  <m:r>
                    <m:t>60°C</m:t>
                  </m:r>
                </m:sub>
              </m:sSub>
              <m:r>
                <m:t xml:space="preserve"> · </m:t>
              </m:r>
              <m:sSup>
                <m:e>
                  <m:r>
                    <m:t>10</m:t>
                  </m:r>
                </m:e>
                <m:sup>
                  <m:r>
                    <m:t>-(T(t)-60)/z</m:t>
                  </m:r>
                </m:sup>
              </m:sSup>
            </m:oMath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Structural model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Model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Wu et al. (2026)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Reference scale decimal reduction time at 60°C (min)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60°C</m:t>
                  </m:r>
                </m:sub>
              </m:sSub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Weibull scale parameter at reference temperature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4.30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[1.86, 10.79]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U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Wu et al. (2026)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Thermal sensitivity coefficient (°C)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r>
                <m:t xml:space="preserve">z</m:t>
              </m:r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Temperature change for 10-fold change in δ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30.10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[23.14, 42.04]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U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Wu et al. (2026)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Curvature shape parameter (dimensionless)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r>
                <m:t xml:space="preserve">p</m:t>
              </m:r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Weibull power exponent (p &lt; 1: upward concavity / tailing)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0.387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[0.370, 0.404]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U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Wu et al. (2026)</w:t>
            </w:r>
          </w:p>
        </w:tc>
      </w:tr>
      <w:tr>
        <w:tc>
          <w:tcPr>
            <w:tcW w:type="dxa" w:w="14112"/>
            <w:gridSpan w:val="7"/>
            <w:tcMar>
              <w:top w:w="8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4. Serving Size &amp; Oyster Aggregation (Figure 1: State 4 — Exposure Assessment)</w:t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/>
                <w:i/>
                <w:sz w:val="16"/>
              </w:rPr>
              <w:t xml:space="preserve">Model: </w:t>
            </w:r>
            <m:oMath>
              <m:sSub>
                <m:e>
                  <m:r>
                    <m:t>D</m:t>
                  </m:r>
                </m:e>
                <m:sub>
                  <m:r>
                    <m:t>serving</m:t>
                  </m:r>
                </m:sub>
              </m:sSub>
              <m:r>
                <m:t xml:space="preserve"> = ∑ </m:t>
              </m:r>
              <m:sSub>
                <m:e>
                  <m:r>
                    <m:t>D</m:t>
                  </m:r>
                </m:e>
                <m:sub>
                  <m:r>
                    <m:t>postcook,j</m:t>
                  </m:r>
                </m:sub>
              </m:sSub>
              <m:r>
                <m:t xml:space="preserve">;  (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  <m:r>
                <m:t xml:space="preserve">, </m:t>
              </m:r>
              <m:sSub>
                <m:e>
                  <m:r>
                    <m:t>n</m:t>
                  </m:r>
                </m:e>
                <m:sub>
                  <m:r>
                    <m:t>M</m:t>
                  </m:r>
                </m:sub>
              </m:sSub>
              <m:r>
                <m:t xml:space="preserve">, </m:t>
              </m:r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  <m:r>
                <m:t xml:space="preserve">) ~ Multinomial(n; 1/3, 1/3, 1/3),  n ∈ {6, 12}</m:t>
              </m:r>
            </m:oMath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Serving size (number of oysters / serving)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r>
                <m:t xml:space="preserve">n</m:t>
              </m:r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Fixed consumption clusters of 6 or 12 oysters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Discrete scenarios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Scenario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This study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Mixed-size serving composition (oysters / class)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  <m:r>
                <m:t xml:space="preserve">, </m:t>
              </m:r>
              <m:sSub>
                <m:e>
                  <m:r>
                    <m:t>n</m:t>
                  </m:r>
                </m:e>
                <m:sub>
                  <m:r>
                    <m:t>M</m:t>
                  </m:r>
                </m:sub>
              </m:sSub>
              <m:r>
                <m:t xml:space="preserve">, </m:t>
              </m:r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mix</m:t>
                  </m:r>
                </m:sub>
              </m:sSub>
              <m:r>
                <m:t xml:space="preserve"> ~ Multinomial(n; 1/3, 1/3, 1/3), n ∈ {6, 12}</m:t>
              </m:r>
            </m:oMath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Equal ratio (1:1:1)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V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This study</w:t>
            </w:r>
          </w:p>
        </w:tc>
      </w:tr>
      <w:tr>
        <w:tc>
          <w:tcPr>
            <w:tcW w:type="dxa" w:w="14112"/>
            <w:gridSpan w:val="7"/>
            <w:tcMar>
              <w:top w:w="8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5. Hazard Characterization &amp; Host Susceptibility (Figure 1: State 5 — Dose-Response)</w:t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/>
                <w:i/>
                <w:sz w:val="16"/>
              </w:rPr>
              <w:t xml:space="preserve">Model: </w:t>
            </w:r>
            <m:oMath>
              <m:sSub>
                <m:e>
                  <m:r>
                    <m:t>P</m:t>
                  </m:r>
                </m:e>
                <m:sub>
                  <m:r>
                    <m:t>inf</m:t>
                  </m:r>
                </m:sub>
              </m:sSub>
              <m:r>
                <m:t xml:space="preserve">(D|Se+) = 1 - </m:t>
              </m:r>
              <m:sSub>
                <m:e>
                  <m:r>
                    <m:t>₁F</m:t>
                  </m:r>
                </m:e>
                <m:sub>
                  <m:r>
                    <m:t>1</m:t>
                  </m:r>
                </m:sub>
              </m:sSub>
              <m:r>
                <m:t xml:space="preserve">(α, α+β, -D);  </m:t>
              </m:r>
              <m:sSub>
                <m:e>
                  <m:r>
                    <m:t>P</m:t>
                  </m:r>
                </m:e>
                <m:sub>
                  <m:r>
                    <m:t>ill|inf</m:t>
                  </m:r>
                </m:sub>
              </m:sSub>
              <m:r>
                <m:t xml:space="preserve">(D) = 1 - (1 + ηD)</m:t>
              </m:r>
              <m:sSup>
                <m:e>
                  <m:r>
                    <m:t/>
                  </m:r>
                </m:e>
                <m:sup>
                  <m:r>
                    <m:t>-r</m:t>
                  </m:r>
                </m:sup>
              </m:sSup>
              <m:r>
                <m:t xml:space="preserve">;  </m:t>
              </m:r>
              <m:sSub>
                <m:e>
                  <m:r>
                    <m:t>P</m:t>
                  </m:r>
                </m:e>
                <m:sub>
                  <m:r>
                    <m:t>ill</m:t>
                  </m:r>
                </m:sub>
              </m:sSub>
              <m:r>
                <m:t xml:space="preserve"> = P(Se+) · </m:t>
              </m:r>
              <m:sSub>
                <m:e>
                  <m:r>
                    <m:t>P</m:t>
                  </m:r>
                </m:e>
                <m:sub>
                  <m:r>
                    <m:t>inf</m:t>
                  </m:r>
                </m:sub>
              </m:sSub>
              <m:r>
                <m:t xml:space="preserve"> · </m:t>
              </m:r>
              <m:sSub>
                <m:e>
                  <m:r>
                    <m:t>P</m:t>
                  </m:r>
                </m:e>
                <m:sub>
                  <m:r>
                    <m:t>ill|inf</m:t>
                  </m:r>
                </m:sub>
              </m:sSub>
            </m:oMath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Secretor-positive host phenotype frequency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r>
                <m:t xml:space="preserve">P(Se+)</m:t>
              </m:r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Beta(76.0, 29.7) [FUT2-functional proportion]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0.719 (71.9%)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[0.630, 0.800]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U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Messner et al. (2014)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Dose–response infection model (confluent hypergeometric)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r>
                <m:t xml:space="preserve">—</m:t>
              </m:r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inf</m:t>
                  </m:r>
                </m:sub>
              </m:sSub>
              <m:r>
                <m:t xml:space="preserve">(D|Se+) = 1 - </m:t>
              </m:r>
              <m:sSub>
                <m:e>
                  <m:r>
                    <m:t>₁F</m:t>
                  </m:r>
                </m:e>
                <m:sub>
                  <m:r>
                    <m:t>1</m:t>
                  </m:r>
                </m:sub>
              </m:sSub>
              <m:r>
                <m:t xml:space="preserve">(α, α+β, -D)</m:t>
              </m:r>
            </m:oMath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Structural model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Model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Teunis et al. (2020)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Beta shape parameter for infection (dimensionless)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r>
                <m:t xml:space="preserve">α</m:t>
              </m:r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Bivariate log-normal MCMC joint posterior draw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0.233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[0.012, 4.85]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U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Teunis et al. (2020)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Beta scale parameter for infection (dimensionless)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r>
                <m:t xml:space="preserve">β</m:t>
              </m:r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Bivariate log-normal MCMC joint posterior draw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5.90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[0.101, 251]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U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Teunis et al. (2020)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Conditional illness-given-infection model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r>
                <m:t xml:space="preserve">—</m:t>
              </m:r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ill|inf</m:t>
                  </m:r>
                </m:sub>
              </m:sSub>
              <m:r>
                <m:t xml:space="preserve">(D) = 1 - (1 + ηD)</m:t>
              </m:r>
              <m:sSup>
                <m:e>
                  <m:r>
                    <m:t/>
                  </m:r>
                </m:e>
                <m:sup>
                  <m:r>
                    <m:t>-r</m:t>
                  </m:r>
                </m:sup>
              </m:sSup>
            </m:oMath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Structural model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Model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Teunis et al. (2020)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Illness scale parameter (virions^-1)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r>
                <m:t xml:space="preserve">η</m:t>
              </m:r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Bivariate log-normal MCMC joint posterior draw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2.02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[0.009, 279]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U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Teunis et al. (2020)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Illness shape parameter (dimensionless)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r>
                <m:t xml:space="preserve">r</m:t>
              </m:r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Bivariate log-normal MCMC joint posterior draw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1.58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[0.001, 416]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U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Teunis et al. (2020)</w:t>
            </w:r>
          </w:p>
        </w:tc>
      </w:tr>
      <w:tr>
        <w:tc>
          <w:tcPr>
            <w:tcW w:type="dxa" w:w="14112"/>
            <w:gridSpan w:val="7"/>
            <w:tcMar>
              <w:top w:w="8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6. Risk Characterization &amp; Annual Disease Burden (Figure 1: State 6 — Risk Characterization)</w:t>
            </w:r>
          </w:p>
          <w:p>
            <w:pPr>
              <w:spacing w:before="40" w:after="0" w:line="264" w:lineRule="auto"/>
            </w:pPr>
            <w:r>
              <w:rPr>
                <w:rFonts w:ascii="Times New Roman" w:hAnsi="Times New Roman"/>
                <w:i/>
                <w:sz w:val="16"/>
              </w:rPr>
              <w:t xml:space="preserve">Model: </w:t>
            </w:r>
            <m:oMath>
              <m:r>
                <m:t xml:space="preserve">Annual events E = </m:t>
              </m:r>
              <m:sSub>
                <m:e>
                  <m:r>
                    <m:t>N</m:t>
                  </m:r>
                </m:e>
                <m:sub>
                  <m:r>
                    <m:t>pop</m:t>
                  </m:r>
                </m:sub>
              </m:sSub>
              <m:r>
                <m:t xml:space="preserve"> · (52 · </m:t>
              </m:r>
              <m:sSub>
                <m:e>
                  <m:r>
                    <m:t>p</m:t>
                  </m:r>
                </m:e>
                <m:sub>
                  <m:r>
                    <m:t>freq</m:t>
                  </m:r>
                </m:sub>
              </m:sSub>
              <m:r>
                <m:t xml:space="preserve">);  Annual illnesses </m:t>
              </m:r>
              <m:sSub>
                <m:e>
                  <m:r>
                    <m:t>I</m:t>
                  </m:r>
                </m:e>
                <m:sub>
                  <m:r>
                    <m:t>ann</m:t>
                  </m:r>
                </m:sub>
              </m:sSub>
              <m:r>
                <m:t xml:space="preserve"> = E · </m:t>
              </m:r>
              <m:sSub>
                <m:e>
                  <m:r>
                    <m:t>E</m:t>
                  </m:r>
                </m:e>
                <m:sub>
                  <m:r>
                    <m:t>var</m:t>
                  </m:r>
                </m:sub>
              </m:sSub>
              <m:r>
                <m:t xml:space="preserve">[</m:t>
              </m:r>
              <m:sSub>
                <m:e>
                  <m:r>
                    <m:t>P</m:t>
                  </m:r>
                </m:e>
                <m:sub>
                  <m:r>
                    <m:t>ill</m:t>
                  </m:r>
                </m:sub>
              </m:sSub>
              <m:r>
                <m:t xml:space="preserve">];  2D Monte Carlo (</m:t>
              </m:r>
              <m:sSub>
                <m:e>
                  <m:r>
                    <m:t>N</m:t>
                  </m:r>
                </m:e>
                <m:sub>
                  <m:r>
                    <m:t>var</m:t>
                  </m:r>
                </m:sub>
              </m:sSub>
              <m:r>
                <m:t xml:space="preserve"> × </m:t>
              </m:r>
              <m:sSub>
                <m:e>
                  <m:r>
                    <m:t>N</m:t>
                  </m:r>
                </m:e>
                <m:sub>
                  <m:r>
                    <m:t>unc</m:t>
                  </m:r>
                </m:sub>
              </m:sSub>
              <m:r>
                <m:t xml:space="preserve">)</m:t>
              </m:r>
            </m:oMath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Raw oyster weekly consumption probability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raw</m:t>
                  </m:r>
                </m:sub>
              </m:sSub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Empirical 7-day food recall proportion (FoodNet survey)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0.007 (0.7%)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Empirical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CDC FoodNet (2006–2007)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Cooked oyster weekly consumption probability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cooked</m:t>
                  </m:r>
                </m:sub>
              </m:sSub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Empirical 7-day recall proportion (0.026 total - 0.007 raw)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0.019 (1.9%)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Empirical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CDC FoodNet (2006–2007)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Total target U.S. consumer population (persons)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pop</m:t>
                  </m:r>
                </m:sub>
              </m:sSub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2024 U.S. Census Bureau resident population projection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341,800,000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Empirical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U.S. Census Bureau (2024)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Variability iterations (individual servings)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var</m:t>
                  </m:r>
                </m:sub>
              </m:sSub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Monte Carlo sample size for dose &amp; serving variability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10,000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Simulation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This study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60" w:type="dxa"/>
              <w:right w:w="60" w:type="dxa"/>
            </w:tcMar>
            <w:tcBorders>
              <w:bottom w:val="single" w:sz="12" w:space="0" w:color="000000"/>
            </w:tcBorders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Uncertainty iterations (parameter sets)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60" w:type="dxa"/>
              <w:right w:w="60" w:type="dxa"/>
            </w:tcMar>
            <w:tcBorders>
              <w:bottom w:val="single" w:sz="12" w:space="0" w:color="000000"/>
            </w:tcBorders>
          </w:tcPr>
          <w:p>
            <w:pPr>
              <w:spacing w:line="252" w:lineRule="auto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unc</m:t>
                  </m:r>
                </m:sub>
              </m:sSub>
            </m:oMath>
          </w:p>
        </w:tc>
        <w:tc>
          <w:tcPr>
            <w:tcW w:type="dxa" w:w="3960"/>
            <w:tcMar>
              <w:top w:w="50" w:type="dxa"/>
              <w:bottom w:w="50" w:type="dxa"/>
              <w:left w:w="60" w:type="dxa"/>
              <w:right w:w="60" w:type="dxa"/>
            </w:tcMar>
            <w:tcBorders>
              <w:bottom w:val="single" w:sz="12" w:space="0" w:color="000000"/>
            </w:tcBorders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Second-order 2D Monte Carlo uncertainty sample size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60" w:type="dxa"/>
              <w:right w:w="60" w:type="dxa"/>
            </w:tcMar>
            <w:tcBorders>
              <w:bottom w:val="single" w:sz="12" w:space="0" w:color="000000"/>
            </w:tcBorders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2,000</w:t>
            </w:r>
          </w:p>
        </w:tc>
        <w:tc>
          <w:tcPr>
            <w:tcW w:type="dxa" w:w="1656"/>
            <w:tcMar>
              <w:top w:w="50" w:type="dxa"/>
              <w:bottom w:w="50" w:type="dxa"/>
              <w:left w:w="60" w:type="dxa"/>
              <w:right w:w="60" w:type="dxa"/>
            </w:tcMar>
            <w:tcBorders>
              <w:bottom w:val="single" w:sz="12" w:space="0" w:color="000000"/>
            </w:tcBorders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type="dxa" w:w="792"/>
            <w:tcMar>
              <w:top w:w="50" w:type="dxa"/>
              <w:bottom w:w="50" w:type="dxa"/>
              <w:left w:w="60" w:type="dxa"/>
              <w:right w:w="60" w:type="dxa"/>
            </w:tcMar>
            <w:tcBorders>
              <w:bottom w:val="single" w:sz="12" w:space="0" w:color="000000"/>
            </w:tcBorders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Simulation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60" w:type="dxa"/>
              <w:right w:w="60" w:type="dxa"/>
            </w:tcMar>
            <w:tcBorders>
              <w:bottom w:val="single" w:sz="12" w:space="0" w:color="000000"/>
            </w:tcBorders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This study</w:t>
            </w:r>
          </w:p>
        </w:tc>
      </w:tr>
    </w:tbl>
    <w:p>
      <w:pPr>
        <w:spacing w:before="200" w:after="40"/>
      </w:pPr>
      <w:r>
        <w:rPr>
          <w:i/>
          <w:sz w:val="17"/>
        </w:rPr>
        <w:t>Notes:</w:t>
      </w:r>
    </w:p>
    <w:p>
      <w:pPr>
        <w:spacing w:before="0" w:after="40" w:line="252" w:lineRule="auto"/>
      </w:pPr>
      <w:r>
        <w:rPr>
          <w:color w:val="333333"/>
          <w:sz w:val="16"/>
        </w:rPr>
        <w:t>Full mathematical models are formulated as native equations in section headers and model specification rows. Each individual parameter is assigned a dedicated row, with separate columns for the central point estimate and 95% uncertainty interval. Physical and biological measurement units are specified directly in parameter descriptions.</w:t>
      </w:r>
    </w:p>
    <w:p>
      <w:pPr>
        <w:spacing w:before="0" w:after="40" w:line="252" w:lineRule="auto"/>
      </w:pPr>
      <w:r>
        <w:rPr>
          <w:color w:val="333333"/>
          <w:sz w:val="16"/>
        </w:rPr>
        <w:t>Dimensions: U, parameter uncertainty dimension (evaluated across N_unc = 2,000 iterations); V, individual serving variability dimension (evaluated across N_var = 10,000 servings); Scenario, predefined cooking regimes or serving sizes; Empirical, derived from surveillance databases or experimental histories; Simulation, computational Monte Carlo sample sizes.</w:t>
      </w:r>
    </w:p>
    <w:p>
      <w:pPr>
        <w:spacing w:before="0" w:after="40" w:line="252" w:lineRule="auto"/>
      </w:pPr>
      <w:r>
        <w:rPr>
          <w:color w:val="333333"/>
          <w:sz w:val="16"/>
        </w:rPr>
        <w:t>Abbreviations: HuNoV, human norovirus; GC, genome copies; D_T, decimal reduction time at temperature T; z, thermal resistance sensitivity coefficient; p, Mafart-Weibull curvature parameter; P(Se+), secretor-positive host phenotype frequency.</w:t>
      </w:r>
    </w:p>
    <w:p>
      <w:pPr>
        <w:spacing w:before="0" w:after="40" w:line="252" w:lineRule="auto"/>
      </w:pPr>
      <w:r>
        <w:rPr>
          <w:color w:val="333333"/>
          <w:sz w:val="16"/>
        </w:rPr>
        <w:t>Dose-response: α and β parameterize the Beta distribution in the confluent hypergeometric (1F1) dose-response infection model; η and r parameterize the conditional illness model. Joint parameter correlations from Teunis et al. (2020) MCMC posterior chains are explicitly preserved.</w:t>
      </w:r>
    </w:p>
    <w:p>
      <w:pPr>
        <w:spacing w:before="0" w:after="40" w:line="252" w:lineRule="auto"/>
      </w:pPr>
      <w:r>
        <w:rPr>
          <w:color w:val="333333"/>
          <w:sz w:val="16"/>
        </w:rPr>
        <w:t>Uncertainty intervals: Bracketed values denote 95% uncertainty intervals (95% credible intervals for Bayesian posteriors, or minimum–maximum bounds for uniform distributions).</w:t>
      </w:r>
    </w:p>
    <w:p>
      <w:pPr>
        <w:spacing w:before="160" w:after="40"/>
      </w:pPr>
      <w:r>
        <w:rPr>
          <w:i/>
          <w:sz w:val="17"/>
        </w:rPr>
        <w:t>References:</w:t>
      </w:r>
    </w:p>
    <w:p>
      <w:pPr>
        <w:spacing w:before="0" w:after="30" w:line="252" w:lineRule="auto"/>
      </w:pPr>
      <w:r>
        <w:rPr>
          <w:color w:val="444444"/>
          <w:sz w:val="15"/>
        </w:rPr>
        <w:t>CDC FoodNet (2006–2007). Foodborne Diseases Active Surveillance Network (FoodNet) Population Survey Atlas of Exposures. Atlanta, GA: U.S. Centers for Disease Control and Prevention.</w:t>
      </w:r>
    </w:p>
    <w:p>
      <w:pPr>
        <w:spacing w:before="0" w:after="30" w:line="252" w:lineRule="auto"/>
      </w:pPr>
      <w:r>
        <w:rPr>
          <w:color w:val="444444"/>
          <w:sz w:val="15"/>
        </w:rPr>
        <w:t>Dicker, J., et al. (2026). Dynamic non-isothermal thermal inactivation kinetics of human norovirus surrogates in shellfish matrices. International Journal of Food Microbiology, 412, 110540.</w:t>
      </w:r>
    </w:p>
    <w:p>
      <w:pPr>
        <w:spacing w:before="0" w:after="30" w:line="252" w:lineRule="auto"/>
      </w:pPr>
      <w:r>
        <w:rPr>
          <w:color w:val="444444"/>
          <w:sz w:val="15"/>
        </w:rPr>
        <w:t>Messner, M. J., Berger, P., &amp; Neill, M. A. (2014). Fractional Poisson dose-response model for human norovirus with host susceptibility. Risk Analysis, 34(10), 1873–1884.</w:t>
      </w:r>
    </w:p>
    <w:p>
      <w:pPr>
        <w:spacing w:before="0" w:after="30" w:line="252" w:lineRule="auto"/>
      </w:pPr>
      <w:r>
        <w:rPr>
          <w:color w:val="444444"/>
          <w:sz w:val="15"/>
        </w:rPr>
        <w:t>Mirmahdi, R., et al. (2025). Quantitative detection and genome-to-infectious-unit ratio estimation of human norovirus. Food and Environmental Virology, 17(1), 45–58.</w:t>
      </w:r>
    </w:p>
    <w:p>
      <w:pPr>
        <w:spacing w:before="0" w:after="30" w:line="252" w:lineRule="auto"/>
      </w:pPr>
      <w:r>
        <w:rPr>
          <w:color w:val="444444"/>
          <w:sz w:val="15"/>
        </w:rPr>
        <w:t>Nalanda, V., et al. (2026). Experimental heat penetration and dynamic internal thermocouple profiling in Pacific oysters under baking and steaming regimes. Food Control (in press).</w:t>
      </w:r>
    </w:p>
    <w:p>
      <w:pPr>
        <w:spacing w:before="0" w:after="30" w:line="252" w:lineRule="auto"/>
      </w:pPr>
      <w:r>
        <w:rPr>
          <w:color w:val="444444"/>
          <w:sz w:val="15"/>
        </w:rPr>
        <w:t>Nishida, T., et al. (2003). Detection, quantitation, and phylogenetic analysis of noroviruses in Japanese oysters. Clinical and Diagnostic Laboratory Immunology, 10(6), 1082–1086.</w:t>
      </w:r>
    </w:p>
    <w:p>
      <w:pPr>
        <w:spacing w:before="0" w:after="30" w:line="252" w:lineRule="auto"/>
      </w:pPr>
      <w:r>
        <w:rPr>
          <w:color w:val="444444"/>
          <w:sz w:val="15"/>
        </w:rPr>
        <w:t>Nishida, T., et al. (2007). Quantitative detection of human noroviruses in oysters from different harvesting areas in Japan. Journal of Medical Virology, 79(12), 1904–1912.</w:t>
      </w:r>
    </w:p>
    <w:p>
      <w:pPr>
        <w:spacing w:before="0" w:after="30" w:line="252" w:lineRule="auto"/>
      </w:pPr>
      <w:r>
        <w:rPr>
          <w:color w:val="444444"/>
          <w:sz w:val="15"/>
        </w:rPr>
        <w:t>Teunis, P. F., et al. (2020). Norovirus dose-response: Evidence for aggregation and conditional illness probability. Epidemics, 30, 100382.</w:t>
      </w:r>
    </w:p>
    <w:p>
      <w:pPr>
        <w:spacing w:before="0" w:after="30" w:line="252" w:lineRule="auto"/>
      </w:pPr>
      <w:r>
        <w:rPr>
          <w:color w:val="444444"/>
          <w:sz w:val="15"/>
        </w:rPr>
        <w:t>U.S. Census Bureau (2024). Annual Estimates of the Resident Population for the United States. Washington, DC: U.S. Department of Commerce.</w:t>
      </w:r>
    </w:p>
    <w:p>
      <w:pPr>
        <w:spacing w:before="0" w:after="30" w:line="252" w:lineRule="auto"/>
      </w:pPr>
      <w:r>
        <w:rPr>
          <w:color w:val="444444"/>
          <w:sz w:val="15"/>
        </w:rPr>
        <w:t>Wu, W., et al. (2026). Meta-analysis and nonlinear Weibull modeling of norovirus thermal resistance in bivalve mollusks. Risk Analysis (under review).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