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 Agent 项目说明</w:t>
      </w:r>
    </w:p>
    <w:p>
      <w:pPr>
        <w:pStyle w:val="Subtitle"/>
      </w:pPr>
      <w:r>
        <w:t>电脑端科研学习助手使用与实现手册</w:t>
      </w:r>
    </w:p>
    <w:p>
      <w:pPr>
        <w:spacing w:after="280"/>
      </w:pPr>
      <w:r>
        <w:t>2026 年 10 月 20 日</w:t>
      </w:r>
    </w:p>
    <w:p>
      <w:pPr>
        <w:pStyle w:val="Heading1"/>
      </w:pPr>
      <w:r>
        <w:t>1 项目目的与当前状态</w:t>
      </w:r>
    </w:p>
    <w:p>
      <w:pPr>
        <w:spacing w:after="120"/>
      </w:pPr>
      <w:r>
        <w:t>这个项目把课堂笔记、论文摘录和讨论记录变成可以跟进的学习或研究任务。你可从 OpenDCAI/ThinkFlow 读取资料，确认目标后交给后台整理，再审阅、追问，最后手动确认写回原笔记本。也可粘贴材料并存入本地库。现在已在 Windows 电脑跑通，整个流程不依赖树莓派。</w:t>
      </w:r>
    </w:p>
    <w:p>
      <w:pPr>
        <w:spacing w:after="120"/>
      </w:pPr>
      <w:r>
        <w:t>树莓派在原方案中承担小型设备入口的作用。先在电脑上开发，可以验证任务流程和软件结构；以后再补麦克风、音箱、实体按键及设备适配。目前的运行与速度结果都来自 Windows 电脑，不能代表树莓派性能。</w:t>
      </w:r>
    </w:p>
    <w:p>
      <w:pPr>
        <w:pStyle w:val="Heading2"/>
      </w:pPr>
      <w:r>
        <w:t>从一段笔记到一条知识</w:t>
      </w:r>
    </w:p>
    <w:p>
      <w:pPr>
        <w:spacing w:after="120"/>
      </w:pPr>
      <w:r>
        <w:t>例如，从 ThinkFlow 选取两份组会资料，填写“整理待验证问题和下一步实验”，预览并确认后开始处理。生成后，你可以追问“材料里还有哪些未确定的条件”，对照原文修正，再确认写回。资料和结果可以在 ThinkFlow 原生界面中查看。</w:t>
      </w:r>
    </w:p>
    <w:p>
      <w:pPr>
        <w:spacing w:after="120"/>
      </w:pPr>
      <w:r>
        <w:t>实际流程为：输入目标与材料 → 预览并确认 → 排队处理 → 查看结果并追问 → 人工确认入库。保留草稿不会触发处理；没有正文时，程序只列出需要补充的信息。</w:t>
      </w:r>
    </w:p>
    <w:p>
      <w:pPr>
        <w:pStyle w:val="Heading2"/>
      </w:pPr>
      <w:r>
        <w:t>当前电脑的使用方式</w:t>
      </w:r>
    </w:p>
    <w:p>
      <w:pPr>
        <w:spacing w:after="120"/>
      </w:pPr>
      <w:r>
        <w:t>这台电脑没有麦克风，当前界面使用模拟语音、字幕和文字录入演示入口。模拟语音把示例文本带入任务表单，不录音；当前产品没有真实语音识别 ASR 链路。浏览器朗读属于语音输出，与识别不是同一功能。</w:t>
      </w:r>
    </w:p>
    <w:p>
      <w:pPr>
        <w:spacing w:after="120"/>
      </w:pPr>
      <w:r>
        <w:t>程序支持三种手动选择的处理方式：本地规则提取、本机 Ollama 模型，以及通过本机代理调用云端模型。检测到已有代理配置时，首次默认采用 gpt-6-luna；你保存过的选择会保留。模式之间没有自动切换或自动云端兜底。</w:t>
      </w:r>
    </w:p>
    <w:p>
      <w:pPr>
        <w:spacing w:after="120"/>
      </w:pPr>
      <w:r>
        <w:t>可先按第 2 节跑通任务，再用第 3 节选择处理方式。第 4 至第 6 节解释数据、验证及设备迁移；第 7 节说明 ThinkFlow 的使用、能力与故障恢复。</w:t>
      </w:r>
    </w:p>
    <w:p>
      <w:pPr>
        <w:pStyle w:val="Heading1"/>
        <w:pageBreakBefore/>
      </w:pPr>
      <w:r>
        <w:t>2 启动与一次完整使用</w:t>
      </w:r>
    </w:p>
    <w:p>
      <w:pPr>
        <w:pStyle w:val="Heading2"/>
      </w:pPr>
      <w:r>
        <w:t>启动和停止</w:t>
      </w:r>
    </w:p>
    <w:p>
      <w:pPr>
        <w:spacing w:after="120"/>
      </w:pPr>
      <w:r>
        <w:t>项目目录位于：</w:t>
      </w:r>
    </w:p>
    <w:p>
      <w:pPr>
        <w:pStyle w:val="Code"/>
      </w:pPr>
      <w:r>
        <w:t>C:\Users\19484\Documents\ChatGPT\personal agent</w:t>
      </w:r>
    </w:p>
    <w:p>
      <w:pPr>
        <w:spacing w:after="120"/>
      </w:pPr>
      <w:r>
        <w:t>双击 start.cmd。启动器会复用已有服务，或隐藏启动后端、已安装的 Ollama 和 ThinkFlow，再打开 http://127.0.0.1:4317。ThinkFlow 原生界面在 8437 端口。需要 Node.js 22 或更新版本，本项目 Node 后端无需 npm 依赖。</w:t>
      </w:r>
    </w:p>
    <w:p>
      <w:pPr>
        <w:pStyle w:val="Code"/>
      </w:pPr>
      <w:r>
        <w:t>powershell.exe -NoProfile -File .\scripts\start.ps1</w:t>
      </w:r>
    </w:p>
    <w:p>
      <w:pPr>
        <w:spacing w:after="120"/>
      </w:pPr>
      <w:r>
        <w:t>关闭网页不会停止后台服务。结束使用时，执行下列命令停止本项目登记并核对过身份的进程；其他已有服务不会被按端口直接关闭。</w:t>
      </w:r>
    </w:p>
    <w:p>
      <w:pPr>
        <w:pStyle w:val="Code"/>
      </w:pPr>
      <w:r>
        <w:t>powershell.exe -NoProfile -File .\scripts\stop.ps1</w:t>
      </w:r>
    </w:p>
    <w:p>
      <w:pPr>
        <w:spacing w:after="120"/>
      </w:pPr>
      <w:r>
        <w:t>启动器不会更改 Windows 脚本安全策略。若执行策略阻止脚本，可在项目目录运行 node server.mjs 启动网页后端，再使用已有模型服务，或在界面选择规则提取。</w:t>
      </w:r>
    </w:p>
    <w:p>
      <w:pPr>
        <w:pStyle w:val="Heading2"/>
      </w:pPr>
      <w:r>
        <w:t>完成第一项任务</w:t>
      </w:r>
    </w:p>
    <w:p>
      <w:pPr>
        <w:spacing w:after="140"/>
      </w:pPr>
      <w:r>
        <w:t>1  进入工作台，选择学习整理、研究问题整理或资料整理。可使用示例或模拟语音，也可以直接输入。</w:t>
      </w:r>
    </w:p>
    <w:p>
      <w:pPr>
        <w:spacing w:after="140"/>
      </w:pPr>
      <w:r>
        <w:t>2  填写目标，点击“选取资料”从 ThinkFlow 读取预览并带入正文，或直接粘贴材料。手工登记的普通 URL 只保留出处，不会自动打开网页。</w:t>
      </w:r>
    </w:p>
    <w:p>
      <w:pPr>
        <w:spacing w:after="140"/>
      </w:pPr>
      <w:r>
        <w:t>3  预览任务，核对目标与材料，再点击“开始处理”。“保留草稿”只保存，不调用模型。</w:t>
      </w:r>
    </w:p>
    <w:p>
      <w:pPr>
        <w:spacing w:after="140"/>
      </w:pPr>
      <w:r>
        <w:t>4  在“我的任务”查看排队、处理中或完成状态。后端按顺序处理任务，页面关闭后仍可回来查看。</w:t>
      </w:r>
    </w:p>
    <w:p>
      <w:pPr>
        <w:spacing w:after="140"/>
      </w:pPr>
      <w:r>
        <w:t>5  对照原文检查结果，必要时编辑或追问。朗读采用浏览器语音合成，可点击“停止”中止播报。</w:t>
      </w:r>
    </w:p>
    <w:p>
      <w:pPr>
        <w:spacing w:after="140"/>
      </w:pPr>
      <w:r>
        <w:t>6  核对后，ThinkFlow 任务点击“确认并写回 ThinkFlow”，普通任务点击“确认存入知识库”。知识库支持搜索、Markdown 下载和本地业务数据 JSON 导出。</w:t>
      </w:r>
    </w:p>
    <w:p>
      <w:pPr>
        <w:pStyle w:val="Heading2"/>
      </w:pPr>
      <w:r>
        <w:t>建议用来试跑的材料</w:t>
      </w:r>
    </w:p>
    <w:p>
      <w:pPr>
        <w:spacing w:after="120"/>
      </w:pPr>
      <w:r>
        <w:t>目标：整理识别实验的已知事实与下一步。正文：安静环境中 10 次录音有 9 次识别正确，噪声环境中 10 次有 6 次正确。下一步固定麦克风距离后重复测试。目前样本较少，不能推断普遍表现。</w:t>
      </w:r>
    </w:p>
    <w:p>
      <w:pPr>
        <w:spacing w:after="120"/>
      </w:pPr>
      <w:r>
        <w:t>这段材料可检查程序能否保留样本数量和条件。生成内容如果省略限制条件，先修正再入库。</w:t>
      </w:r>
    </w:p>
    <w:p>
      <w:pPr>
        <w:pStyle w:val="Heading1"/>
        <w:pageBreakBefore/>
      </w:pPr>
      <w:r>
        <w:t>3 三种处理方式与数据去向</w:t>
      </w:r>
    </w:p>
    <w:p>
      <w:pPr>
        <w:spacing w:after="120"/>
      </w:pPr>
      <w:r>
        <w:t>在“设置”选择处理方式，点击“保存设置”，再点击“测试已保存的配置”。填入预设后仍需要保存。连接测试只读取模型列表并核对所选模型，真实生成能力要通过提交任务验证。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05" w:type="dxa"/>
          <w:right w:w="105" w:type="dxa"/>
        </w:tblCellMar>
      </w:tblPr>
      <w:tblGrid>
        <w:gridCol w:w="1656"/>
        <w:gridCol w:w="2880"/>
        <w:gridCol w:w="5544"/>
      </w:tblGrid>
      <w:tr>
        <w:trPr>
          <w:cantSplit/>
          <w:tblHeader/>
        </w:trPr>
        <w:tc>
          <w:tcPr>
            <w:tcW w:type="dxa" w:w="1656"/>
            <w:vAlign w:val="center"/>
            <w:shd w:fill="E8EDF1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方式</w:t>
            </w:r>
          </w:p>
        </w:tc>
        <w:tc>
          <w:tcPr>
            <w:tcW w:type="dxa" w:w="2880"/>
            <w:vAlign w:val="center"/>
            <w:shd w:fill="E8EDF1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地址和模型</w:t>
            </w:r>
          </w:p>
        </w:tc>
        <w:tc>
          <w:tcPr>
            <w:tcW w:type="dxa" w:w="5544"/>
            <w:vAlign w:val="center"/>
            <w:shd w:fill="E8EDF1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材料去向与能力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本地规则提取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无需模型服务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由程序在本机抽取句子，标记问题和行动候选；追问是关键词检索，不是 AI 总结或推理。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7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Ollama 本机模型</w:t>
            </w:r>
          </w:p>
        </w:tc>
        <w:tc>
          <w:tcPr>
            <w:tcW w:type="dxa" w:w="2880"/>
            <w:vAlign w:val="center"/>
            <w:shd w:fill="F7F8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127.0.0.1:11434</w:t>
              <w:br/>
              <w:t>qwen2.5:1.5b</w:t>
            </w:r>
          </w:p>
        </w:tc>
        <w:tc>
          <w:tcPr>
            <w:tcW w:type="dxa" w:w="5544"/>
            <w:vAlign w:val="center"/>
            <w:shd w:fill="F7F8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模型辅助选择相关原句，程序核对编号后呈现原文。追问也检索原句，不用于科学推理。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本机代理调用云端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127.0.0.1:8317/v1</w:t>
              <w:br/>
              <w:t>gpt-6-luna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请求通过已有 OpenAI 兼容代理发往配置的模型服务。入口地址在本机，推理仍发生在云端。</w:t>
            </w:r>
          </w:p>
        </w:tc>
      </w:tr>
    </w:tbl>
    <w:p>
      <w:pPr>
        <w:spacing w:after="0"/>
      </w:pPr>
    </w:p>
    <w:p>
      <w:pPr>
        <w:pStyle w:val="Heading2"/>
      </w:pPr>
      <w:r>
        <w:t>本地模型的约束</w:t>
      </w:r>
    </w:p>
    <w:p>
      <w:pPr>
        <w:spacing w:after="120"/>
      </w:pPr>
      <w:r>
        <w:t>项目内已部署 Ollama 0.40.6 和 qwen2.5:1.5b。模型主要文件约 986 MB，采用 Q4_K_M 量化。程序为 Ollama 设置 8,192 token 上下文，最多生成 400 token 的选句结果；程序只采用经校验的原文编号，不采用小模型改写的正文。token 是模型内部的文本单位，与字符数不同。</w:t>
      </w:r>
    </w:p>
    <w:p>
      <w:pPr>
        <w:spacing w:after="120"/>
      </w:pPr>
      <w:r>
        <w:t>本地正文最多 5,000 字符，系统要求与完整任务数据合计最多 6,500 字符。追问同时包含已有结果和最近 8 条历史消息，每条完整保留；超限需拆分。模型只返回原句编号，结构错误、没有有效编号或达到输出上限会明确报错，不把自由生成的文字当正文。问题和行动候选仍由规则分类。</w:t>
      </w:r>
    </w:p>
    <w:p>
      <w:pPr>
        <w:spacing w:after="120"/>
      </w:pPr>
      <w:r>
        <w:t>需要重新安装、续传模型或验证本地生成时，执行安装脚本。启动器不会自动下载大文件。</w:t>
      </w:r>
    </w:p>
    <w:p>
      <w:pPr>
        <w:pStyle w:val="Code"/>
      </w:pPr>
      <w:r>
        <w:t>powershell.exe -NoProfile -File .\scripts\setup-local-model.ps1</w:t>
      </w:r>
    </w:p>
    <w:p>
      <w:pPr>
        <w:pStyle w:val="Heading2"/>
      </w:pPr>
      <w:r>
        <w:t>材料与密钥如何处理</w:t>
      </w:r>
    </w:p>
    <w:p>
      <w:pPr>
        <w:spacing w:after="120"/>
      </w:pPr>
      <w:r>
        <w:t>规则模式不调用模型接口。Ollama 模式把正文交给所选本机服务；云端模式则可能上传正文、任务要求和追问上下文。请按材料本身的使用要求选择模式。</w:t>
      </w:r>
    </w:p>
    <w:p>
      <w:pPr>
        <w:spacing w:after="120"/>
      </w:pPr>
      <w:r>
        <w:t>手动填写的 API Key 只留在当前后端进程内存，不写入业务数据或导出；重启后需重新提供。已有本机代理的客户端凭证按需读取到内存，项目不复制 OAuth 文件。</w:t>
      </w:r>
    </w:p>
    <w:p>
      <w:pPr>
        <w:pStyle w:val="Heading1"/>
        <w:pageBreakBefore/>
      </w:pPr>
      <w:r>
        <w:t>4 数据流与后端架构</w:t>
      </w:r>
    </w:p>
    <w:p>
      <w:pPr>
        <w:spacing w:after="120"/>
      </w:pPr>
      <w:r>
        <w:t>浏览器负责表单、任务列表、结果显示和播报。Node.js 后端只监听本机地址 127.0.0.1:4317，负责校验请求、保存数据和串行执行队列。处理模块依据已保存的模式调用规则、Ollama 或 OpenAI 兼容接口，再把结果交回后端。</w:t>
      </w:r>
    </w:p>
    <w:p>
      <w:pPr>
        <w:spacing w:after="120"/>
      </w:pPr>
      <w:r>
        <w:t>数据流为：读取资料或粘贴正文 → 保存草稿 → 确认目标 → 队列处理 → 审阅结果 → 确认保存。ThinkFlow 任务会创建原生文档，读回核对后再记本地确认条目。模型调用失败会报错，不自动换成其他模式。</w:t>
      </w:r>
    </w:p>
    <w:p>
      <w:pPr>
        <w:pStyle w:val="Heading2"/>
      </w:pPr>
      <w:r>
        <w:t>任务状态和异步的含义</w:t>
      </w:r>
    </w:p>
    <w:p>
      <w:pPr>
        <w:spacing w:after="120"/>
      </w:pPr>
      <w:r>
        <w:t>任务从草稿进入队列，再变为处理中，随后完成、失败或取消。网页只是操作入口；后端运行期间，关闭页面不会中断处理。这里的异步是本机后台队列，并没有额外部署一直在线的云端任务服务。</w:t>
      </w:r>
    </w:p>
    <w:p>
      <w:pPr>
        <w:spacing w:after="120"/>
      </w:pPr>
      <w:r>
        <w:t>电脑睡眠、关机或后端退出后，任务不能继续运行。服务重启会把中断的任务标为失败，保留信息供你检查，并允许重新确认执行。这避免把未完成工作显示为已完成。</w:t>
      </w:r>
    </w:p>
    <w:p>
      <w:pPr>
        <w:pStyle w:val="Heading2"/>
      </w:pPr>
      <w:r>
        <w:t>需要知道的文件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05" w:type="dxa"/>
          <w:right w:w="105" w:type="dxa"/>
        </w:tblCellMar>
      </w:tblPr>
      <w:tblGrid>
        <w:gridCol w:w="2952"/>
        <w:gridCol w:w="7128"/>
      </w:tblGrid>
      <w:tr>
        <w:trPr>
          <w:cantSplit/>
          <w:tblHeader/>
        </w:trPr>
        <w:tc>
          <w:tcPr>
            <w:tcW w:type="dxa" w:w="2952"/>
            <w:vAlign w:val="center"/>
            <w:shd w:fill="E8EDF1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文件或目录</w:t>
            </w:r>
          </w:p>
        </w:tc>
        <w:tc>
          <w:tcPr>
            <w:tcW w:type="dxa" w:w="7128"/>
            <w:vAlign w:val="center"/>
            <w:shd w:fill="E8EDF1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作用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server.mjs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本机 HTTP 服务、任务状态机、串行队列及数据持久化。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7F8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lib/processor.mjs</w:t>
            </w:r>
          </w:p>
        </w:tc>
        <w:tc>
          <w:tcPr>
            <w:tcW w:type="dxa" w:w="7128"/>
            <w:vAlign w:val="center"/>
            <w:shd w:fill="F7F8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规则提取、模型请求、追问、连接检查和长度限制。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lib/thinkflow.mjs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ThinkFlow 资料读取、来源快照、原生文档回写与读回校验。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7F8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public/</w:t>
            </w:r>
          </w:p>
        </w:tc>
        <w:tc>
          <w:tcPr>
            <w:tcW w:type="dxa" w:w="7128"/>
            <w:vAlign w:val="center"/>
            <w:shd w:fill="F7F8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中文网页界面、模拟输入、任务管理、知识库和浏览器播报。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scripts/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启动、停止、本地模型部署，以及本说明的可维护生成脚本。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7F8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data/workspace.json</w:t>
            </w:r>
          </w:p>
        </w:tc>
        <w:tc>
          <w:tcPr>
            <w:tcW w:type="dxa" w:w="7128"/>
            <w:vAlign w:val="center"/>
            <w:shd w:fill="F7F8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任务、结果、对话、来源、设置及确认后的知识条目。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data/thinkflow/outputs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ThinkFlow 原生资料、成果文档及其版本的实际存储目录。</w:t>
            </w:r>
          </w:p>
        </w:tc>
      </w:tr>
    </w:tbl>
    <w:p>
      <w:pPr>
        <w:spacing w:after="0"/>
      </w:pPr>
    </w:p>
    <w:p>
      <w:pPr>
        <w:pStyle w:val="Heading2"/>
      </w:pPr>
      <w:r>
        <w:t>保存和备份</w:t>
      </w:r>
    </w:p>
    <w:p>
      <w:pPr>
        <w:spacing w:after="120"/>
      </w:pPr>
      <w:r>
        <w:t>备份前先停止服务，再复制整个 data 目录，同时保留应用记录和 ThinkFlow 原生文件。网页 JSON 导出只包含本地业务记录，不包括 ThinkFlow 原始资料和版本目录；当前没有图形化导入恢复功能。.runtime 中的程序、模型可重新安装。</w:t>
      </w:r>
    </w:p>
    <w:p>
      <w:pPr>
        <w:pStyle w:val="Heading1"/>
        <w:pageBreakBefore/>
      </w:pPr>
      <w:r>
        <w:t>5 原方案对应与验证证据</w:t>
      </w:r>
    </w:p>
    <w:p>
      <w:pPr>
        <w:spacing w:after="120"/>
      </w:pPr>
      <w:r>
        <w:t>原图描述的是包含设备入口、任务处理和知识沉淀的完整方案。本次完成电脑端原型，软件流程与硬件验证需要分别判断。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05" w:type="dxa"/>
          <w:right w:w="105" w:type="dxa"/>
        </w:tblCellMar>
      </w:tblPr>
      <w:tblGrid>
        <w:gridCol w:w="2376"/>
        <w:gridCol w:w="7704"/>
      </w:tblGrid>
      <w:tr>
        <w:trPr>
          <w:cantSplit/>
          <w:tblHeader/>
        </w:trPr>
        <w:tc>
          <w:tcPr>
            <w:tcW w:type="dxa" w:w="2376"/>
            <w:vAlign w:val="center"/>
            <w:shd w:fill="E8EDF1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原方案内容</w:t>
            </w:r>
          </w:p>
        </w:tc>
        <w:tc>
          <w:tcPr>
            <w:tcW w:type="dxa" w:w="7704"/>
            <w:vAlign w:val="center"/>
            <w:shd w:fill="E8EDF1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当前实现与边界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轻量任务入口</w:t>
            </w:r>
          </w:p>
        </w:tc>
        <w:tc>
          <w:tcPr>
            <w:tcW w:type="dxa" w:w="7704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文字、示例和模拟语音可建任务；无唤醒词或全局热键。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7F8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语音与设备原型</w:t>
            </w:r>
          </w:p>
        </w:tc>
        <w:tc>
          <w:tcPr>
            <w:tcW w:type="dxa" w:w="7704"/>
            <w:vAlign w:val="center"/>
            <w:shd w:fill="F7F8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仅模拟输入与浏览器播报；无真实 ASR 链路。树莓派未部署。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本地优先与云端补充</w:t>
            </w:r>
          </w:p>
        </w:tc>
        <w:tc>
          <w:tcPr>
            <w:tcW w:type="dxa" w:w="7704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三种方式手动切换；没有自动路由或云端兜底。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7F8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异步总结与追问</w:t>
            </w:r>
          </w:p>
        </w:tc>
        <w:tc>
          <w:tcPr>
            <w:tcW w:type="dxa" w:w="7704"/>
            <w:vAlign w:val="center"/>
            <w:shd w:fill="F7F8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三类任务可后台排队、整理及追问；电脑需保持运行。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知识沉淀</w:t>
            </w:r>
          </w:p>
        </w:tc>
        <w:tc>
          <w:tcPr>
            <w:tcW w:type="dxa" w:w="7704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已接通 ThinkFlow 原始资料读取与确认后原生文档回写；无研究关系图。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7F8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六类场景验证</w:t>
            </w:r>
          </w:p>
        </w:tc>
        <w:tc>
          <w:tcPr>
            <w:tcW w:type="dxa" w:w="7704"/>
            <w:vAlign w:val="center"/>
            <w:shd w:fill="F7F8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硬件六类场景验证尚未完成，软件测试不能替代。</w:t>
            </w:r>
          </w:p>
        </w:tc>
      </w:tr>
    </w:tbl>
    <w:p>
      <w:pPr>
        <w:spacing w:after="0"/>
      </w:pPr>
    </w:p>
    <w:p>
      <w:pPr>
        <w:pStyle w:val="Heading2"/>
      </w:pPr>
      <w:r>
        <w:t>已经执行的检查</w:t>
      </w:r>
    </w:p>
    <w:p>
      <w:pPr>
        <w:spacing w:after="120"/>
      </w:pPr>
      <w:r>
        <w:t>自动测试共 30 项，均通过：处理模块 17 项、后端 7 项、ThinkFlow 接入 6 项。新增覆盖资料归属、预览变化、人工确认门槛、并发确认、读回不一致、响应丢失及重启恢复。模拟服务用于验证契约，不作为真实模型能力的证据。</w:t>
      </w:r>
    </w:p>
    <w:p>
      <w:pPr>
        <w:spacing w:after="120"/>
      </w:pPr>
      <w:r>
        <w:t>已实际跑通复用服务、新建后台服务、停止登记服务及再次启动。停止操作保留了原有代理；进程身份保护的异常分支仅做静态审查。</w:t>
      </w:r>
    </w:p>
    <w:p>
      <w:pPr>
        <w:spacing w:after="120"/>
      </w:pPr>
      <w:r>
        <w:t>浏览器已跑通模拟语音字幕、任务确认、云端执行、结果编辑、追问和人工入库，重启后数据保留。本地新任务也完成选句、显示原文及确认入库，公式和不等号原样保留。项目保留标明示例的试运行记录，用来展示流程，不代表真实实验。桌面 1366×900 与 360 像素窄布局已检查，模式切换和连接检查通过。</w:t>
      </w:r>
    </w:p>
    <w:p>
      <w:pPr>
        <w:spacing w:after="120"/>
      </w:pPr>
      <w:r>
        <w:t>云端 gpt-6-luna 已完成真实示例生成，单次约 5.93 秒。实际测试发现 1.5B 模型会错改公式，因此本地仅辅助选句和资料线索检索，复杂归纳与推理交给云端。原句可能遗漏上下文，云端也可能推断错误；入库前核对数字、条件与引用。耗时只对应当前 Windows 电脑的一次观察，不是树莓派基准测试。</w:t>
      </w:r>
    </w:p>
    <w:p>
      <w:pPr>
        <w:pStyle w:val="Heading1"/>
        <w:pageBreakBefore/>
      </w:pPr>
      <w:r>
        <w:t>6 树莓派迁移与日常排错</w:t>
      </w:r>
    </w:p>
    <w:p>
      <w:pPr>
        <w:pStyle w:val="Heading2"/>
      </w:pPr>
      <w:r>
        <w:t>以后如何迁移到树莓派</w:t>
      </w:r>
    </w:p>
    <w:p>
      <w:pPr>
        <w:spacing w:after="120"/>
      </w:pPr>
      <w:r>
        <w:t>核心任务流程使用 Node.js、HTTP 接口和本地 JSON，迁移时可以保留这些思路。先在树莓派安装合适的 Linux 与 Node.js，复制程序和数据，修改 Windows 专用的启动及路径配置，再验证网页与队列。现有 Windows 便携 Ollama 可执行文件不能直接复制到树莓派运行。</w:t>
      </w:r>
    </w:p>
    <w:p>
      <w:pPr>
        <w:spacing w:after="120"/>
      </w:pPr>
      <w:r>
        <w:t>再接入麦克风、音箱和按键，逐项测试音频设备、权限、识别延迟、回声及播报打断。可让树莓派只负责采集和反馈，把较重推理留在电脑或云端；也可评估合适的 ARM 本地模型。是否能在设备上达到可用速度，必须按实际内存、散热与模型重新测量。</w:t>
      </w:r>
    </w:p>
    <w:p>
      <w:pPr>
        <w:pStyle w:val="Heading2"/>
      </w:pPr>
      <w:r>
        <w:t>常见问题的检查顺序</w:t>
      </w:r>
    </w:p>
    <w:p>
      <w:pPr>
        <w:spacing w:after="120"/>
      </w:pPr>
      <w:r>
        <w:t>网页打不开：先运行 start.cmd，再检查 4317 端口是否被其他服务占用。查看 .runtime/server.stderr.log。不要仅凭端口号结束不认识的进程。</w:t>
      </w:r>
    </w:p>
    <w:p>
      <w:pPr>
        <w:spacing w:after="120"/>
      </w:pPr>
      <w:r>
        <w:t>模型连接失败：核对保存的模式、地址和模型名。本地模型查看 .runtime/ollama.stderr.log；代理查看 .runtime/proxy.stderr.log。连接测试未找到模型时，先确认安装或账户权限。</w:t>
      </w:r>
    </w:p>
    <w:p>
      <w:pPr>
        <w:spacing w:after="120"/>
      </w:pPr>
      <w:r>
        <w:t>任务失败或内容不完整：检查错误信息；本地模式超长、选句无效或达到输出上限时，缩小材料与追问范围后重试。后端重启后的中断任务需要重新确认执行。云端结果也需核对原文。</w:t>
      </w:r>
    </w:p>
    <w:p>
      <w:pPr>
        <w:spacing w:after="120"/>
      </w:pPr>
      <w:r>
        <w:t>朗读没有声音：检查浏览器支持、音量和可用中文声音。模拟输入本身不会录音；当前没有真实 ASR 链路，不能用它测试识别效果。</w:t>
      </w:r>
    </w:p>
    <w:p>
      <w:pPr>
        <w:spacing w:after="120"/>
      </w:pPr>
      <w:r>
        <w:t>需要重新验证代码：在项目目录运行 npm test。需要备份成果：在知识库导出 JSON；需要复用说明：修改 scripts/build-project-guide.py 后重新生成并检查排版。</w:t>
      </w:r>
    </w:p>
    <w:p>
      <w:pPr>
        <w:pStyle w:val="Heading2"/>
      </w:pPr>
      <w:r>
        <w:t>继续阅读的官方资料</w:t>
      </w:r>
    </w:p>
    <w:p>
      <w:pPr>
        <w:spacing w:after="100"/>
      </w:pPr>
      <w:r>
        <w:t xml:space="preserve">Ollama Chat API  </w:t>
      </w:r>
      <w:hyperlink r:id="rId10">
        <w:r>
          <w:rPr>
            <w:color w:val="000000"/>
          </w:rPr>
          <w:t>https://docs.ollama.com/api/chat</w:t>
        </w:r>
      </w:hyperlink>
    </w:p>
    <w:p>
      <w:pPr>
        <w:spacing w:after="100"/>
      </w:pPr>
      <w:r>
        <w:t xml:space="preserve">OpenAI Chat Completions  </w:t>
      </w:r>
      <w:hyperlink r:id="rId11">
        <w:r>
          <w:rPr>
            <w:color w:val="000000"/>
          </w:rPr>
          <w:t>https://platform.openai.com/docs/api-reference/chat/create</w:t>
        </w:r>
      </w:hyperlink>
    </w:p>
    <w:p>
      <w:pPr>
        <w:spacing w:after="100"/>
      </w:pPr>
      <w:r>
        <w:t xml:space="preserve">树莓派入门文档  </w:t>
      </w:r>
      <w:hyperlink r:id="rId12">
        <w:r>
          <w:rPr>
            <w:color w:val="000000"/>
          </w:rPr>
          <w:t>https://www.raspberrypi.com/documentation/computers/getting-started.html</w:t>
        </w:r>
      </w:hyperlink>
    </w:p>
    <w:p>
      <w:pPr>
        <w:pStyle w:val="Heading1"/>
        <w:pageBreakBefore/>
      </w:pPr>
      <w:r>
        <w:t>7 ThinkFlow 资料与结果管理</w:t>
      </w:r>
    </w:p>
    <w:p>
      <w:pPr>
        <w:spacing w:after="120"/>
      </w:pPr>
      <w:r>
        <w:t>ThinkFlow 现在承载原始资料与经确认的成果；Personal Agent 负责目标确认、任务队列和模型处理。部署使用 OpenDCAI/ThinkFlow 固定提交 1eecae5，原版后端和前端均已在本机运行。</w:t>
      </w:r>
    </w:p>
    <w:p>
      <w:pPr>
        <w:pStyle w:val="Heading2"/>
      </w:pPr>
      <w:r>
        <w:t>怎样从资料得到正式成果</w:t>
      </w:r>
    </w:p>
    <w:p>
      <w:pPr>
        <w:spacing w:after="140"/>
      </w:pPr>
      <w:r>
        <w:t>1  在 4317 工作台点击“选取资料”。选择已有笔记本；也可展开弹窗下方的选项，新建笔记本并保存文字资料。保存原始资料不会触发模型。</w:t>
      </w:r>
    </w:p>
    <w:p>
      <w:pPr>
        <w:spacing w:after="140"/>
      </w:pPr>
      <w:r>
        <w:t>2  勾选材料后“读取预览”，核对正文，再点击“使用已读取资料”。当前一次最多 20 份，正文合计含标记最多 100,000 字符。Ollama 仍受更小预算限制。</w:t>
      </w:r>
    </w:p>
    <w:p>
      <w:pPr>
        <w:spacing w:after="140"/>
      </w:pPr>
      <w:r>
        <w:t>3  确认目标后运行。结果完成时先审阅，可编辑并保存。资料读取、生成和追问都不会自动创建 ThinkFlow 成果文档。</w:t>
      </w:r>
    </w:p>
    <w:p>
      <w:pPr>
        <w:spacing w:after="140"/>
      </w:pPr>
      <w:r>
        <w:t>4  点击“确认并写回 ThinkFlow”。写入并读取核对成功后，可点“读取 ThinkFlow 文档”查看实时正文，或在原生工作台打开笔记本并点击右侧文档标题。</w:t>
      </w:r>
    </w:p>
    <w:p>
      <w:pPr>
        <w:pStyle w:val="Heading2"/>
      </w:pPr>
      <w:r>
        <w:t>来源记录和失败恢复</w:t>
      </w:r>
    </w:p>
    <w:p>
      <w:pPr>
        <w:spacing w:after="120"/>
      </w:pPr>
      <w:r>
        <w:t>任务保留正文快照、资料 ID、SHA-256 和读取时间；新任务还记录各来源句段范围，新回写文档保存原文快照。SHA-256 用于比较内容是否相同，不证明模型结论正确。普通 URL 仍然只作登记。</w:t>
      </w:r>
    </w:p>
    <w:p>
      <w:pPr>
        <w:spacing w:after="120"/>
      </w:pPr>
      <w:r>
        <w:t>第一次确认后锁定该次内容。若响应丢失或服务中断，恢复后点击“重试核对并写回”，程序先查任务对应文档，核对一致后恢复，不重复创建。若原文档已被外部修改，会报冲突并保留，不自动覆盖。</w:t>
      </w:r>
    </w:p>
    <w:p>
      <w:pPr>
        <w:pStyle w:val="Heading2"/>
      </w:pPr>
      <w:r>
        <w:t>已经接通的范围</w:t>
      </w:r>
    </w:p>
    <w:p>
      <w:pPr>
        <w:spacing w:after="120"/>
      </w:pPr>
      <w:r>
        <w:t>真实联调已完成两份 Markdown 资料读取、gpt-6-luna 整理、编辑、确认回写与原生 UI 查看。确认前结果文档为 0，确认及重复确认后仍为 1；读回正文与审阅稿一致。资料中的实验计划是示例，不代表已完成实验。</w:t>
      </w:r>
    </w:p>
    <w:p>
      <w:pPr>
        <w:spacing w:after="120"/>
      </w:pPr>
      <w:r>
        <w:t>原生素材的“待入库”指未建立向量索引，正文已保存且可以直接读取。当前没有启用 embedding 和文档 RAG，也未接通 BM25 融合重排、Skills 或 Plan-and-Execute。PDF 读取接口允许文本层 PDF，尚未单独实测。</w:t>
      </w:r>
    </w:p>
    <w:p>
      <w:pPr>
        <w:spacing w:after="120"/>
      </w:pPr>
      <w:r>
        <w:t>新电脑先运行 scripts/setup-thinkflow.ps1，需 Git、uv、Node.js/npm 和网络。常规启动用 start.cmd；排错看 .runtime/thinkflow.stderr.log。详情见 docs/ThinkFlow接入说明.md。</w:t>
      </w:r>
    </w:p>
    <w:sectPr w:rsidR="00FC693F" w:rsidRPr="0006063C" w:rsidSect="00034616">
      <w:footerReference w:type="default" r:id="rId9"/>
      <w:pgSz w:w="12240" w:h="15840"/>
      <w:pgMar w:top="1008" w:right="1080" w:bottom="979" w:left="1080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/>
        <w:color w:val="000000"/>
        <w:sz w:val="18"/>
      </w:rPr>
      <w:t xml:space="preserve">第 </w:t>
    </w:r>
    <w:fldSimple w:instr="PAGE"/>
    <w:r>
      <w:rPr>
        <w:rFonts w:ascii="Microsoft YaHei" w:hAnsi="Microsoft YaHei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Microsoft YaHei" w:hAnsi="Microsoft YaHei" w:eastAsia="Microsoft YaHei" w:cs="Microsoft YaHei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00" w:line="264" w:lineRule="auto"/>
    </w:pPr>
    <w:rPr>
      <w:rFonts w:ascii="Microsoft YaHei" w:hAnsi="Microsoft YaHei" w:eastAsia="Microsoft YaHei" w:cs="Microsoft YaHei"/>
      <w:b w:val="0"/>
      <w:i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cs.ollama.com/api/chat" TargetMode="External"/><Relationship Id="rId11" Type="http://schemas.openxmlformats.org/officeDocument/2006/relationships/hyperlink" Target="https://platform.openai.com/docs/api-reference/chat/create" TargetMode="External"/><Relationship Id="rId12" Type="http://schemas.openxmlformats.org/officeDocument/2006/relationships/hyperlink" Target="https://www.raspberrypi.com/documentation/computers/getting-starte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Agent 项目说明</dc:title>
  <dc:subject>电脑端科研学习助手的使用与实现</dc:subject>
  <dc:creator>Personal Agent</dc:creator>
  <cp:keywords>科研学习 任务队列 知识库 Windows Ollama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