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DDE4" w14:textId="77777777" w:rsidR="004A6D9D" w:rsidRPr="004A6D9D" w:rsidRDefault="004A6D9D" w:rsidP="004A6D9D">
      <w:pPr>
        <w:rPr>
          <w:rFonts w:ascii="Arial" w:hAnsi="Arial" w:cs="Arial"/>
        </w:rPr>
      </w:pPr>
      <w:r w:rsidRPr="004A6D9D">
        <w:rPr>
          <w:rFonts w:ascii="Arial" w:hAnsi="Arial" w:cs="Arial"/>
        </w:rPr>
        <w:t>Highlights</w:t>
      </w:r>
    </w:p>
    <w:p w14:paraId="407D6C03" w14:textId="77777777" w:rsidR="004A6D9D" w:rsidRPr="004A6D9D" w:rsidRDefault="004A6D9D" w:rsidP="004A6D9D">
      <w:pPr>
        <w:rPr>
          <w:rFonts w:ascii="Arial" w:hAnsi="Arial" w:cs="Arial"/>
        </w:rPr>
      </w:pPr>
    </w:p>
    <w:p w14:paraId="26A5966B" w14:textId="77777777" w:rsidR="004A6D9D" w:rsidRPr="004A6D9D" w:rsidRDefault="004A6D9D" w:rsidP="004A6D9D">
      <w:pPr>
        <w:rPr>
          <w:rFonts w:ascii="Arial" w:hAnsi="Arial" w:cs="Arial"/>
        </w:rPr>
      </w:pPr>
      <w:r w:rsidRPr="004A6D9D">
        <w:rPr>
          <w:rFonts w:ascii="Arial" w:hAnsi="Arial" w:cs="Arial"/>
        </w:rPr>
        <w:t>• Battery-model fidelity changes DRL-based microgrid BESS scheduling economics.</w:t>
      </w:r>
    </w:p>
    <w:p w14:paraId="39884CDB" w14:textId="77777777" w:rsidR="004A6D9D" w:rsidRPr="004A6D9D" w:rsidRDefault="004A6D9D" w:rsidP="004A6D9D">
      <w:pPr>
        <w:rPr>
          <w:rFonts w:ascii="Arial" w:hAnsi="Arial" w:cs="Arial"/>
        </w:rPr>
      </w:pPr>
      <w:r w:rsidRPr="004A6D9D">
        <w:rPr>
          <w:rFonts w:ascii="Arial" w:hAnsi="Arial" w:cs="Arial"/>
        </w:rPr>
        <w:t>• A common PBM evaluation protocol is applied in MG-RES and MG-CIGRE.</w:t>
      </w:r>
    </w:p>
    <w:p w14:paraId="3CF93A10" w14:textId="77777777" w:rsidR="004A6D9D" w:rsidRPr="004A6D9D" w:rsidRDefault="004A6D9D" w:rsidP="004A6D9D">
      <w:pPr>
        <w:rPr>
          <w:rFonts w:ascii="Arial" w:hAnsi="Arial" w:cs="Arial"/>
        </w:rPr>
      </w:pPr>
      <w:r w:rsidRPr="004A6D9D">
        <w:rPr>
          <w:rFonts w:ascii="Arial" w:hAnsi="Arial" w:cs="Arial"/>
        </w:rPr>
        <w:t>• EBM-trained SAC policies show about 5% higher annual operating cost.</w:t>
      </w:r>
    </w:p>
    <w:p w14:paraId="40353CBF" w14:textId="77777777" w:rsidR="004A6D9D" w:rsidRPr="004A6D9D" w:rsidRDefault="004A6D9D" w:rsidP="004A6D9D">
      <w:pPr>
        <w:rPr>
          <w:rFonts w:ascii="Arial" w:hAnsi="Arial" w:cs="Arial"/>
        </w:rPr>
      </w:pPr>
      <w:r w:rsidRPr="004A6D9D">
        <w:rPr>
          <w:rFonts w:ascii="Arial" w:hAnsi="Arial" w:cs="Arial"/>
        </w:rPr>
        <w:t>• PBM-trained SAC policies lower annual cost on all six seeds in both cases.</w:t>
      </w:r>
    </w:p>
    <w:p w14:paraId="2EFED70A" w14:textId="5568496C" w:rsidR="008618A9" w:rsidRPr="004A6D9D" w:rsidRDefault="004A6D9D" w:rsidP="004A6D9D">
      <w:r w:rsidRPr="004A6D9D">
        <w:rPr>
          <w:rFonts w:ascii="Arial" w:hAnsi="Arial" w:cs="Arial"/>
        </w:rPr>
        <w:t>• The annual gap accumulates through repeated small dispatch differences.</w:t>
      </w:r>
    </w:p>
    <w:sectPr w:rsidR="008618A9" w:rsidRPr="004A6D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BC"/>
    <w:rsid w:val="00307662"/>
    <w:rsid w:val="004A6D9D"/>
    <w:rsid w:val="004E3496"/>
    <w:rsid w:val="005614D7"/>
    <w:rsid w:val="00655949"/>
    <w:rsid w:val="008618A9"/>
    <w:rsid w:val="00872271"/>
    <w:rsid w:val="008C03BC"/>
    <w:rsid w:val="00F8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A749E1-27BB-43F5-B514-38340842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03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3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3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3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3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3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3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3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03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0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0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03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03B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03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03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03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03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03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3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03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03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03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03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03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0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03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0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 T</dc:creator>
  <cp:keywords/>
  <dc:description/>
  <cp:lastModifiedBy>WJ T</cp:lastModifiedBy>
  <cp:revision>4</cp:revision>
  <dcterms:created xsi:type="dcterms:W3CDTF">2026-04-06T07:46:00Z</dcterms:created>
  <dcterms:modified xsi:type="dcterms:W3CDTF">2026-04-06T07:48:00Z</dcterms:modified>
</cp:coreProperties>
</file>