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6726"/>
      <w:bookmarkStart w:id="2" w:name="_Toc1375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4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1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4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魏来：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5" w:name="_Toc29110"/>
      <w:r>
        <w:rPr>
          <w:rFonts w:hint="eastAsia"/>
          <w:lang w:val="en-US" w:eastAsia="zh-CN"/>
        </w:rPr>
        <w:t>任务概述</w:t>
      </w:r>
      <w:bookmarkEnd w:id="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魏来：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6" w:name="_Toc22046"/>
      <w:r>
        <w:t>数据流图与数据字典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数据流图：魏来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Ex：数据字典待商榷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状态机设计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35.1pt;width:372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模块设计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数据及状态机设计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  <w:bookmarkStart w:id="21" w:name="_GoBack"/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A1740"/>
    <w:rsid w:val="31C45E52"/>
    <w:rsid w:val="384B26D6"/>
    <w:rsid w:val="4A4B7EA7"/>
    <w:rsid w:val="52190399"/>
    <w:rsid w:val="59FF71E8"/>
    <w:rsid w:val="5AC82302"/>
    <w:rsid w:val="784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2021-04-29T06:10:58Z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