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570C12" w14:textId="1D738464" w:rsidR="00AE5F8F" w:rsidRPr="00AE5F8F" w:rsidRDefault="00AE5F8F" w:rsidP="003D5967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340E797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107AC692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5209EE15" w:rsidR="00697D44" w:rsidRPr="00AE5F8F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</w:t>
      </w:r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</w:t>
      </w:r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</w:t>
      </w:r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  <w:bookmarkStart w:id="0" w:name="_GoBack"/>
      <w:bookmarkEnd w:id="0"/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/>
          <w:sz w:val="22"/>
          <w:szCs w:val="22"/>
        </w:rPr>
        <w:t>TIno</w:t>
      </w:r>
      <w:r w:rsidR="00E80DAD">
        <w:rPr>
          <w:rFonts w:eastAsia="宋体" w:hint="eastAsia"/>
          <w:sz w:val="22"/>
          <w:szCs w:val="22"/>
        </w:rPr>
        <w:t>，而</w:t>
      </w:r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，因此</w:t>
      </w:r>
      <w:r w:rsidR="00E80DAD">
        <w:rPr>
          <w:rFonts w:eastAsia="宋体"/>
          <w:sz w:val="22"/>
          <w:szCs w:val="22"/>
        </w:rPr>
        <w:t>TItime,TIname</w:t>
      </w:r>
      <w:r w:rsidR="00E80DAD">
        <w:rPr>
          <w:rFonts w:eastAsia="宋体" w:hint="eastAsia"/>
          <w:sz w:val="22"/>
          <w:szCs w:val="22"/>
        </w:rPr>
        <w:t>传递依赖于</w:t>
      </w:r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</w:t>
      </w:r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,AWname,AWkind,AWprice,AWsold)</w:t>
      </w:r>
    </w:p>
    <w:p w14:paraId="709A8B94" w14:textId="074727EB" w:rsidR="00586CBA" w:rsidRPr="00CE0E3E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no,TItime,TIname,AWno)</w:t>
      </w:r>
      <w:r>
        <w:rPr>
          <w:rFonts w:eastAsia="宋体" w:hint="eastAsia"/>
          <w:sz w:val="22"/>
          <w:szCs w:val="22"/>
        </w:rPr>
        <w:t>其中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r>
        <w:rPr>
          <w:rFonts w:eastAsia="宋体" w:hint="eastAsia"/>
          <w:sz w:val="22"/>
          <w:szCs w:val="22"/>
        </w:rPr>
        <w:t>参照</w:t>
      </w: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rtwork.AWno</w:t>
      </w:r>
    </w:p>
    <w:p w14:paraId="50A1A2F2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6A3B27A" w14:textId="77777777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19724B0" w14:textId="3F41BA30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_Ticket(Tno,Tname,Tsex,Twork,Ename,Tprice)</w:t>
      </w:r>
    </w:p>
    <w:p w14:paraId="60607D80" w14:textId="1ABCA51C" w:rsid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v</w:t>
      </w:r>
      <w:r>
        <w:rPr>
          <w:rFonts w:eastAsia="宋体"/>
          <w:sz w:val="22"/>
          <w:szCs w:val="22"/>
        </w:rPr>
        <w:t>_TradeInfo(TIno,TIname,TItime,AWname,AWkind,AWprice)</w:t>
      </w:r>
    </w:p>
    <w:p w14:paraId="5216E6D5" w14:textId="21612623" w:rsidR="006C5728" w:rsidRPr="006C5728" w:rsidRDefault="006C5728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v_Reserve(Rno,Aname,Hname,Rtime,Rnum)</w:t>
      </w:r>
    </w:p>
    <w:p w14:paraId="492A6944" w14:textId="0AB5C363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7A15683B" w14:textId="77777777" w:rsidR="006C5728" w:rsidRPr="006C5728" w:rsidRDefault="006C5728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选用一种</w:t>
      </w:r>
      <w:r w:rsidRPr="00AF318E">
        <w:rPr>
          <w:rFonts w:eastAsia="宋体"/>
          <w:sz w:val="22"/>
          <w:szCs w:val="22"/>
        </w:rPr>
        <w:t>RDBMS</w:t>
      </w:r>
      <w:r w:rsidRPr="00AF318E">
        <w:rPr>
          <w:rFonts w:eastAsia="宋体"/>
          <w:sz w:val="22"/>
          <w:szCs w:val="22"/>
        </w:rPr>
        <w:t>，使用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定义数据库的概念模式。</w:t>
      </w:r>
    </w:p>
    <w:p w14:paraId="57062E8B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根据应用需求，设计数据库的外模式，并使用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定义数据库视图。</w:t>
      </w:r>
      <w:r w:rsidRPr="00AF318E">
        <w:rPr>
          <w:rFonts w:eastAsia="宋体"/>
          <w:sz w:val="22"/>
          <w:szCs w:val="22"/>
        </w:rPr>
        <w:t xml:space="preserve"> </w:t>
      </w:r>
    </w:p>
    <w:p w14:paraId="23346B88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77777777" w:rsidR="00AF318E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C1674BE" w14:textId="77777777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lastRenderedPageBreak/>
        <w:t>说明你在数据库设计过程中的心得体会。</w:t>
      </w:r>
    </w:p>
    <w:p w14:paraId="34899655" w14:textId="77777777" w:rsidR="00883372" w:rsidRPr="00AF318E" w:rsidRDefault="00883372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883372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883372" w:rsidRDefault="00883372" w:rsidP="00BA4DEA">
      <w:r>
        <w:separator/>
      </w:r>
    </w:p>
  </w:endnote>
  <w:endnote w:type="continuationSeparator" w:id="0">
    <w:p w14:paraId="1265A309" w14:textId="77777777" w:rsidR="00883372" w:rsidRDefault="00883372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883372" w:rsidRDefault="008833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883372" w:rsidRDefault="00883372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883372" w:rsidRDefault="008833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883372" w:rsidRDefault="00883372" w:rsidP="00BA4DEA">
      <w:r>
        <w:separator/>
      </w:r>
    </w:p>
  </w:footnote>
  <w:footnote w:type="continuationSeparator" w:id="0">
    <w:p w14:paraId="3D77B7A1" w14:textId="77777777" w:rsidR="00883372" w:rsidRDefault="00883372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B0265"/>
    <w:rsid w:val="00287CA5"/>
    <w:rsid w:val="003114CB"/>
    <w:rsid w:val="00395A0F"/>
    <w:rsid w:val="003D2E99"/>
    <w:rsid w:val="003D5967"/>
    <w:rsid w:val="003E73F7"/>
    <w:rsid w:val="0042475A"/>
    <w:rsid w:val="00431011"/>
    <w:rsid w:val="00475B33"/>
    <w:rsid w:val="004C5439"/>
    <w:rsid w:val="00511DC9"/>
    <w:rsid w:val="00586CBA"/>
    <w:rsid w:val="005C2708"/>
    <w:rsid w:val="00614934"/>
    <w:rsid w:val="006343E0"/>
    <w:rsid w:val="00697D44"/>
    <w:rsid w:val="006C5728"/>
    <w:rsid w:val="007355BF"/>
    <w:rsid w:val="007C3BDE"/>
    <w:rsid w:val="007E75DD"/>
    <w:rsid w:val="00806C8D"/>
    <w:rsid w:val="00867134"/>
    <w:rsid w:val="00883372"/>
    <w:rsid w:val="008E03EB"/>
    <w:rsid w:val="00917DD7"/>
    <w:rsid w:val="009C7D2C"/>
    <w:rsid w:val="00A044AE"/>
    <w:rsid w:val="00A420FB"/>
    <w:rsid w:val="00A956D5"/>
    <w:rsid w:val="00AE5F8F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E61ECB"/>
    <w:rsid w:val="00E80DAD"/>
    <w:rsid w:val="00E91457"/>
    <w:rsid w:val="00FB082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34</cp:revision>
  <dcterms:created xsi:type="dcterms:W3CDTF">2019-03-28T13:18:00Z</dcterms:created>
  <dcterms:modified xsi:type="dcterms:W3CDTF">2020-03-30T13:19:00Z</dcterms:modified>
</cp:coreProperties>
</file>