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056"/>
        <w:gridCol w:w="2448"/>
      </w:tblGrid>
      <w:tr>
        <w:tc>
          <w:tcPr>
            <w:tcW w:type="dxa" w:w="4968"/>
            <w:shd w:fill="111111"/>
            <w:tcMar>
              <w:top w:w="180" w:type="dxa"/>
              <w:start w:w="180" w:type="dxa"/>
              <w:bottom w:w="180" w:type="dxa"/>
              <w:end w:w="180" w:type="dxa"/>
            </w:tcMar>
            <w:tcBorders>
              <w:left w:val="single" w:sz="0" w:color="111111"/>
              <w:top w:val="single" w:sz="0" w:color="111111"/>
              <w:right w:val="single" w:sz="0" w:color="111111"/>
              <w:bottom w:val="single" w:sz="0" w:color="111111"/>
            </w:tcBorders>
            <w:vAlign w:val="center"/>
          </w:tcPr>
          <w:p>
            <w:pPr>
              <w:jc w:val="left"/>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Waxframe_logo_v19(1).png"/>
                          <pic:cNvPicPr/>
                        </pic:nvPicPr>
                        <pic:blipFill>
                          <a:blip r:embed="rId11"/>
                          <a:stretch>
                            <a:fillRect/>
                          </a:stretch>
                        </pic:blipFill>
                        <pic:spPr>
                          <a:xfrm>
                            <a:off x="0" y="0"/>
                            <a:ext cx="1051560" cy="1051560"/>
                          </a:xfrm>
                          <a:prstGeom prst="rect"/>
                        </pic:spPr>
                      </pic:pic>
                    </a:graphicData>
                  </a:graphic>
                </wp:inline>
              </w:drawing>
            </w:r>
          </w:p>
          <w:p>
            <w:pPr>
              <w:pStyle w:val="Title"/>
              <w:jc w:val="left"/>
            </w:pPr>
            <w:r>
              <w:t>WaxFrame Getting Started</w:t>
            </w:r>
          </w:p>
          <w:p>
            <w:pPr>
              <w:pStyle w:val="BrandSubtitle"/>
              <w:jc w:val="left"/>
            </w:pPr>
            <w:r>
              <w:t>Step-by-step guide</w:t>
            </w:r>
          </w:p>
          <w:p>
            <w:pPr>
              <w:pStyle w:val="Meta"/>
              <w:jc w:val="left"/>
            </w:pPr>
            <w:r>
              <w:t>Version 3.3 · Build 20260415-003</w:t>
            </w:r>
          </w:p>
        </w:tc>
        <w:tc>
          <w:tcPr>
            <w:tcW w:type="dxa" w:w="4968"/>
            <w:shd w:fill="111111"/>
            <w:tcMar>
              <w:top w:w="180" w:type="dxa"/>
              <w:start w:w="180" w:type="dxa"/>
              <w:bottom w:w="180" w:type="dxa"/>
              <w:end w:w="180" w:type="dxa"/>
            </w:tcMar>
            <w:tcBorders>
              <w:left w:val="single" w:sz="0" w:color="111111"/>
              <w:top w:val="single" w:sz="0" w:color="111111"/>
              <w:right w:val="single" w:sz="0" w:color="111111"/>
              <w:bottom w:val="single" w:sz="0" w:color="111111"/>
            </w:tcBorders>
            <w:vAlign w:val="center"/>
          </w:tcPr>
          <w:p>
            <w:pPr>
              <w:jc w:val="center"/>
            </w:pPr>
            <w:r>
              <w:drawing>
                <wp:inline xmlns:a="http://schemas.openxmlformats.org/drawingml/2006/main" xmlns:pic="http://schemas.openxmlformats.org/drawingml/2006/picture">
                  <wp:extent cx="1234440" cy="1234440"/>
                  <wp:docPr id="2" name="Picture 2"/>
                  <wp:cNvGraphicFramePr>
                    <a:graphicFrameLocks noChangeAspect="1"/>
                  </wp:cNvGraphicFramePr>
                  <a:graphic>
                    <a:graphicData uri="http://schemas.openxmlformats.org/drawingml/2006/picture">
                      <pic:pic>
                        <pic:nvPicPr>
                          <pic:cNvPr id="0" name="WaxFrame_Worker_Bee_v2.png"/>
                          <pic:cNvPicPr/>
                        </pic:nvPicPr>
                        <pic:blipFill>
                          <a:blip r:embed="rId12"/>
                          <a:stretch>
                            <a:fillRect/>
                          </a:stretch>
                        </pic:blipFill>
                        <pic:spPr>
                          <a:xfrm>
                            <a:off x="0" y="0"/>
                            <a:ext cx="1234440" cy="1234440"/>
                          </a:xfrm>
                          <a:prstGeom prst="rect"/>
                        </pic:spPr>
                      </pic:pic>
                    </a:graphicData>
                  </a:graphic>
                </wp:inline>
              </w:drawing>
            </w:r>
          </w:p>
          <w:p>
            <w:pPr>
              <w:jc w:val="center"/>
            </w:pPr>
            <w:r>
              <w:rPr>
                <w:rFonts w:ascii="Aptos" w:hAnsi="Aptos"/>
                <w:b/>
                <w:color w:val="E1A22A"/>
                <w:sz w:val="22"/>
              </w:rPr>
              <w:t>Many minds.</w:t>
              <w:br/>
              <w:t>One refined result.</w:t>
            </w:r>
          </w:p>
        </w:tc>
      </w:tr>
    </w:tbl>
    <w:p/>
    <w:tbl>
      <w:tblPr>
        <w:tblW w:type="auto" w:w="0"/>
        <w:jc w:val="center"/>
        <w:tblLayout w:type="fixed"/>
        <w:tblLook w:firstColumn="1" w:firstRow="1" w:lastColumn="0" w:lastRow="0" w:noHBand="0" w:noVBand="1" w:val="04A0"/>
      </w:tblPr>
      <w:tblGrid>
        <w:gridCol w:w="2376"/>
        <w:gridCol w:w="7272"/>
      </w:tblGrid>
      <w:tr>
        <w:tc>
          <w:tcPr>
            <w:tcW w:type="dxa" w:w="4968"/>
            <w:tcMar>
              <w:top w:w="120" w:type="dxa"/>
              <w:start w:w="120" w:type="dxa"/>
              <w:bottom w:w="120" w:type="dxa"/>
              <w:end w:w="120" w:type="dxa"/>
            </w:tcMar>
            <w:vAlign w:val="center"/>
            <w:shd w:fill="E1A22A"/>
          </w:tcPr>
          <w:p>
            <w:pPr>
              <w:jc w:val="center"/>
            </w:pPr>
            <w:r>
              <w:rPr>
                <w:b/>
                <w:color w:val="FFFFFF"/>
                <w:sz w:val="22"/>
              </w:rPr>
              <w:t>QUICK START</w:t>
            </w:r>
          </w:p>
        </w:tc>
        <w:tc>
          <w:tcPr>
            <w:tcW w:type="dxa" w:w="4968"/>
            <w:tcMar>
              <w:top w:w="120" w:type="dxa"/>
              <w:start w:w="120" w:type="dxa"/>
              <w:bottom w:w="120" w:type="dxa"/>
              <w:end w:w="120" w:type="dxa"/>
            </w:tcMar>
            <w:vAlign w:val="center"/>
            <w:shd w:fill="F5F1E8"/>
          </w:tcPr>
          <w:p>
            <w:r>
              <w:rPr>
                <w:color w:val="333333"/>
                <w:sz w:val="20"/>
              </w:rPr>
              <w:t>A branded Word edition of the Getting Started guide, cleaned up for easy printing or PDF export.</w:t>
            </w:r>
          </w:p>
        </w:tc>
      </w:tr>
    </w:tbl>
    <w:p/>
    <w:p>
      <w:pPr>
        <w:spacing w:after="160"/>
        <w:jc w:val="left"/>
      </w:pPr>
      <w:r>
        <w:rPr>
          <w:sz w:val="21"/>
        </w:rPr>
        <w:t>This guide gets you from a downloaded ZIP file to running your first round - step by step, in plain language. No technical experience required.</w:t>
      </w:r>
    </w:p>
    <w:p>
      <w:pPr>
        <w:pStyle w:val="Meta"/>
      </w:pPr>
      <w:r>
        <w:t>Version 3.3 - Build 20260415-003 - weirdave.github.io/WaxFrame-Professional</w:t>
      </w:r>
    </w:p>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For full details on every feature - conflicts, rounds, notes, export, custom AIs, billing, and more - open the User Manual from inside the app, or visit weirdave.github.io/WaxFrame-Professional/waxframe-user-manual.html.</w:t>
            </w:r>
          </w:p>
        </w:tc>
      </w:tr>
    </w:tbl>
    <w:p>
      <w:pPr>
        <w:pStyle w:val="Heading1"/>
      </w:pPr>
      <w:r>
        <w:t>What's in this guide</w:t>
      </w:r>
    </w:p>
    <w:p>
      <w:pPr>
        <w:ind w:left="144"/>
      </w:pPr>
      <w:r>
        <w:rPr>
          <w:b/>
        </w:rPr>
        <w:t xml:space="preserve">1. </w:t>
      </w:r>
      <w:r>
        <w:t>What you downloaded and what each file does</w:t>
      </w:r>
    </w:p>
    <w:p>
      <w:pPr>
        <w:ind w:left="144"/>
      </w:pPr>
      <w:r>
        <w:rPr>
          <w:b/>
        </w:rPr>
        <w:t xml:space="preserve">2. </w:t>
      </w:r>
      <w:r>
        <w:t>How to open WaxFrame</w:t>
      </w:r>
    </w:p>
    <w:p>
      <w:pPr>
        <w:ind w:left="144"/>
      </w:pPr>
      <w:r>
        <w:rPr>
          <w:b/>
        </w:rPr>
        <w:t xml:space="preserve">3. </w:t>
      </w:r>
      <w:r>
        <w:t>Get your first API key</w:t>
      </w:r>
    </w:p>
    <w:p>
      <w:pPr>
        <w:ind w:left="144"/>
      </w:pPr>
      <w:r>
        <w:rPr>
          <w:b/>
        </w:rPr>
        <w:t xml:space="preserve">4. </w:t>
      </w:r>
      <w:r>
        <w:t>Set up your Worker Bees and Builder</w:t>
      </w:r>
    </w:p>
    <w:p>
      <w:pPr>
        <w:ind w:left="144"/>
      </w:pPr>
      <w:r>
        <w:rPr>
          <w:b/>
        </w:rPr>
        <w:t xml:space="preserve">5. </w:t>
      </w:r>
      <w:r>
        <w:t>Start your first project and run a round</w:t>
      </w:r>
    </w:p>
    <w:p>
      <w:pPr>
        <w:ind w:left="144"/>
      </w:pPr>
      <w:r>
        <w:rPr>
          <w:b/>
        </w:rPr>
        <w:t xml:space="preserve">6. </w:t>
      </w:r>
      <w:r>
        <w:t>What happens next</w:t>
      </w:r>
    </w:p>
    <w:p>
      <w:pPr>
        <w:pStyle w:val="Heading1"/>
      </w:pPr>
      <w:r>
        <w:t>1) What You Downloaded and What Each File Does</w:t>
      </w:r>
    </w:p>
    <w:p>
      <w:pPr>
        <w:spacing w:after="160"/>
        <w:jc w:val="left"/>
      </w:pPr>
      <w:r>
        <w:rPr>
          <w:sz w:val="21"/>
        </w:rPr>
        <w:t>When you unzip the download you will get a folder containing a number of files. Most of them you will never need to open or touch directly.</w:t>
      </w:r>
    </w:p>
    <w:tbl>
      <w:tblPr>
        <w:tblW w:type="auto" w:w="0"/>
        <w:jc w:val="center"/>
        <w:tblLayout w:type="fixed"/>
        <w:tblLook w:firstColumn="1" w:firstRow="1" w:lastColumn="0" w:lastRow="0" w:noHBand="0" w:noVBand="1" w:val="04A0"/>
      </w:tblPr>
      <w:tblGrid>
        <w:gridCol w:w="2376"/>
        <w:gridCol w:w="4536"/>
        <w:gridCol w:w="2880"/>
      </w:tblGrid>
      <w:tr>
        <w:tc>
          <w:tcPr>
            <w:tcW w:type="dxa" w:w="3312"/>
            <w:shd w:fill="E1A22A"/>
            <w:tcMar>
              <w:top w:w="80" w:type="dxa"/>
              <w:start w:w="100" w:type="dxa"/>
              <w:bottom w:w="80" w:type="dxa"/>
              <w:end w:w="100" w:type="dxa"/>
            </w:tcMar>
            <w:tcBorders>
              <w:left w:val="single" w:sz="6" w:color="D9D9D9"/>
              <w:top w:val="single" w:sz="6" w:color="D9D9D9"/>
              <w:right w:val="single" w:sz="6" w:color="D9D9D9"/>
              <w:bottom w:val="single" w:sz="6" w:color="D9D9D9"/>
            </w:tcBorders>
          </w:tcPr>
          <w:p>
            <w:pPr>
              <w:jc w:val="center"/>
            </w:pPr>
            <w:r>
              <w:rPr>
                <w:b/>
                <w:color w:val="FFFFFF"/>
                <w:sz w:val="20"/>
              </w:rPr>
              <w:t>File / Folder</w:t>
            </w:r>
          </w:p>
        </w:tc>
        <w:tc>
          <w:tcPr>
            <w:tcW w:type="dxa" w:w="3312"/>
            <w:shd w:fill="E1A22A"/>
            <w:tcMar>
              <w:top w:w="80" w:type="dxa"/>
              <w:start w:w="100" w:type="dxa"/>
              <w:bottom w:w="80" w:type="dxa"/>
              <w:end w:w="100" w:type="dxa"/>
            </w:tcMar>
            <w:tcBorders>
              <w:left w:val="single" w:sz="6" w:color="D9D9D9"/>
              <w:top w:val="single" w:sz="6" w:color="D9D9D9"/>
              <w:right w:val="single" w:sz="6" w:color="D9D9D9"/>
              <w:bottom w:val="single" w:sz="6" w:color="D9D9D9"/>
            </w:tcBorders>
          </w:tcPr>
          <w:p>
            <w:pPr>
              <w:jc w:val="center"/>
            </w:pPr>
            <w:r>
              <w:rPr>
                <w:b/>
                <w:color w:val="FFFFFF"/>
                <w:sz w:val="20"/>
              </w:rPr>
              <w:t>What it is</w:t>
            </w:r>
          </w:p>
        </w:tc>
        <w:tc>
          <w:tcPr>
            <w:tcW w:type="dxa" w:w="3312"/>
            <w:shd w:fill="E1A22A"/>
            <w:tcMar>
              <w:top w:w="80" w:type="dxa"/>
              <w:start w:w="100" w:type="dxa"/>
              <w:bottom w:w="80" w:type="dxa"/>
              <w:end w:w="100" w:type="dxa"/>
            </w:tcMar>
            <w:tcBorders>
              <w:left w:val="single" w:sz="6" w:color="D9D9D9"/>
              <w:top w:val="single" w:sz="6" w:color="D9D9D9"/>
              <w:right w:val="single" w:sz="6" w:color="D9D9D9"/>
              <w:bottom w:val="single" w:sz="6" w:color="D9D9D9"/>
            </w:tcBorders>
          </w:tcPr>
          <w:p>
            <w:pPr>
              <w:jc w:val="center"/>
            </w:pPr>
            <w:r>
              <w:rPr>
                <w:b/>
                <w:color w:val="FFFFFF"/>
                <w:sz w:val="20"/>
              </w:rPr>
              <w:t>Do you open it?</w:t>
            </w:r>
          </w:p>
        </w:tc>
      </w:tr>
      <w:tr>
        <w:tc>
          <w:tcPr>
            <w:tcW w:type="dxa" w:w="237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b/>
                <w:sz w:val="18"/>
              </w:rPr>
              <w:t>index.html</w:t>
            </w:r>
          </w:p>
        </w:tc>
        <w:tc>
          <w:tcPr>
            <w:tcW w:type="dxa" w:w="453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The app itself. This is WaxFrame.</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Yes - double-click this to launch</w:t>
            </w:r>
          </w:p>
        </w:tc>
      </w:tr>
      <w:tr>
        <w:tc>
          <w:tcPr>
            <w:tcW w:type="dxa" w:w="237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b/>
                <w:sz w:val="18"/>
              </w:rPr>
              <w:t>app.js</w:t>
            </w:r>
          </w:p>
        </w:tc>
        <w:tc>
          <w:tcPr>
            <w:tcW w:type="dxa" w:w="453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The engine. All the logic that makes WaxFrame work.</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No - never open or edit this</w:t>
            </w:r>
          </w:p>
        </w:tc>
      </w:tr>
      <w:tr>
        <w:tc>
          <w:tcPr>
            <w:tcW w:type="dxa" w:w="237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b/>
                <w:sz w:val="18"/>
              </w:rPr>
              <w:t>style.css</w:t>
            </w:r>
          </w:p>
        </w:tc>
        <w:tc>
          <w:tcPr>
            <w:tcW w:type="dxa" w:w="453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The visual styling. Controls how everything looks.</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No - never open or edit this</w:t>
            </w:r>
          </w:p>
        </w:tc>
      </w:tr>
      <w:tr>
        <w:tc>
          <w:tcPr>
            <w:tcW w:type="dxa" w:w="237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b/>
                <w:sz w:val="18"/>
              </w:rPr>
              <w:t>theme.js</w:t>
            </w:r>
          </w:p>
        </w:tc>
        <w:tc>
          <w:tcPr>
            <w:tcW w:type="dxa" w:w="453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Handles light/dark mode switching.</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No - never open or edit this</w:t>
            </w:r>
          </w:p>
        </w:tc>
      </w:tr>
      <w:tr>
        <w:tc>
          <w:tcPr>
            <w:tcW w:type="dxa" w:w="237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b/>
                <w:sz w:val="18"/>
              </w:rPr>
              <w:t>api-links.js</w:t>
            </w:r>
          </w:p>
        </w:tc>
        <w:tc>
          <w:tcPr>
            <w:tcW w:type="dxa" w:w="453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Stores the API console and billing URLs for each AI provider.</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No - never open or edit this</w:t>
            </w:r>
          </w:p>
        </w:tc>
      </w:tr>
      <w:tr>
        <w:tc>
          <w:tcPr>
            <w:tcW w:type="dxa" w:w="237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b/>
                <w:sz w:val="18"/>
              </w:rPr>
              <w:t>*.html files</w:t>
            </w:r>
          </w:p>
        </w:tc>
        <w:tc>
          <w:tcPr>
            <w:tcW w:type="dxa" w:w="453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Help pages: User Manual, API Key Guide, Token Guide, and others.</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No - they open from inside the app</w:t>
            </w:r>
          </w:p>
        </w:tc>
      </w:tr>
      <w:tr>
        <w:tc>
          <w:tcPr>
            <w:tcW w:type="dxa" w:w="237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b/>
                <w:sz w:val="18"/>
              </w:rPr>
              <w:t>images/</w:t>
            </w:r>
          </w:p>
        </w:tc>
        <w:tc>
          <w:tcPr>
            <w:tcW w:type="dxa" w:w="453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Icons and graphics used by the app.</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No - leave this folder alone</w:t>
            </w:r>
          </w:p>
        </w:tc>
      </w:tr>
      <w:tr>
        <w:tc>
          <w:tcPr>
            <w:tcW w:type="dxa" w:w="237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b/>
                <w:sz w:val="18"/>
              </w:rPr>
              <w:t>WaxFrame-Getting-Started.pdf</w:t>
            </w:r>
          </w:p>
        </w:tc>
        <w:tc>
          <w:tcPr>
            <w:tcW w:type="dxa" w:w="4536"/>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This document.</w:t>
            </w:r>
          </w:p>
        </w:tc>
        <w:tc>
          <w:tcPr>
            <w:tcW w:type="dxa" w:w="288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You are reading it</w:t>
            </w:r>
          </w:p>
        </w:tc>
      </w:tr>
    </w:tbl>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Keep all files together inside the same folder. Do not move index.html out on its own - it needs the other files alongside it to function.</w:t>
            </w:r>
          </w:p>
        </w:tc>
      </w:tr>
    </w:tbl>
    <w:p>
      <w:pPr>
        <w:pStyle w:val="Heading1"/>
      </w:pPr>
      <w:r>
        <w:t>2) How to Open WaxFrame</w:t>
      </w:r>
    </w:p>
    <w:p>
      <w:pPr>
        <w:pStyle w:val="Heading2"/>
      </w:pPr>
      <w:r>
        <w:t>Double-click index.html - that is it</w:t>
      </w:r>
    </w:p>
    <w:p>
      <w:pPr>
        <w:spacing w:after="160"/>
        <w:jc w:val="left"/>
      </w:pPr>
      <w:r>
        <w:rPr>
          <w:sz w:val="21"/>
        </w:rPr>
        <w:t>index.html is a web page file. Your browser - Chrome, Edge, Firefox, or Safari - knows how to open it, the same way it opens any website. The difference is this one lives on your computer instead of on the internet.</w:t>
      </w:r>
    </w:p>
    <w:p>
      <w:pPr>
        <w:spacing w:after="160"/>
        <w:jc w:val="left"/>
      </w:pPr>
      <w:r>
        <w:rPr>
          <w:sz w:val="21"/>
        </w:rPr>
        <w:t>Find index.html in the folder and double-click it. Your browser will open and you will see the WaxFrame welcome screen. You are now running the app.</w:t>
      </w:r>
    </w:p>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Chrome or Edge work best. Firefox works well too. If nothing happens when you double-click, right-click index.html and choose Open With, then pick your browser from the list.</w:t>
            </w:r>
          </w:p>
        </w:tc>
      </w:tr>
    </w:tbl>
    <w:p>
      <w:pPr>
        <w:pStyle w:val="Heading2"/>
      </w:pPr>
      <w:r>
        <w:t>Bookmark it for next time</w:t>
      </w:r>
    </w:p>
    <w:p>
      <w:pPr>
        <w:spacing w:after="160"/>
        <w:jc w:val="left"/>
      </w:pPr>
      <w:r>
        <w:rPr>
          <w:sz w:val="21"/>
        </w:rPr>
        <w:t>Once WaxFrame is open in your browser, bookmark it like any website. Next time, just click the bookmark - no need to find the file again. On Windows you can also right-click index.html and choose Send To &gt; Desktop to create a shortcut.</w:t>
      </w:r>
    </w:p>
    <w:p>
      <w:pPr>
        <w:pStyle w:val="Heading1"/>
      </w:pPr>
      <w:r>
        <w:t>3) Get Your First API Key</w:t>
      </w:r>
    </w:p>
    <w:p>
      <w:pPr>
        <w:pStyle w:val="Heading2"/>
      </w:pPr>
      <w:r>
        <w:t>WaxFrame needs API keys to talk to AI providers on your behalf</w:t>
      </w:r>
    </w:p>
    <w:p>
      <w:pPr>
        <w:spacing w:after="160"/>
        <w:jc w:val="left"/>
      </w:pPr>
      <w:r>
        <w:rPr>
          <w:sz w:val="21"/>
        </w:rPr>
        <w:t>An API key is a password that proves to an AI provider that you have an account and gives WaxFrame permission to send requests on your behalf. You get one by signing up directly with the AI provider - WaxFrame never sees your billing details.</w:t>
      </w:r>
    </w:p>
    <w:p>
      <w:pPr>
        <w:spacing w:after="160"/>
        <w:jc w:val="left"/>
      </w:pPr>
      <w:r>
        <w:rPr>
          <w:sz w:val="21"/>
        </w:rPr>
        <w:t>Your keys are stored only in your browser and never leave your machine.</w:t>
      </w:r>
    </w:p>
    <w:p>
      <w:pPr>
        <w:pStyle w:val="Heading2"/>
      </w:pPr>
      <w:r>
        <w:t>Start with Gemini - it is free</w:t>
      </w:r>
    </w:p>
    <w:p>
      <w:pPr>
        <w:ind w:left="144"/>
      </w:pPr>
      <w:r>
        <w:rPr>
          <w:b/>
        </w:rPr>
        <w:t xml:space="preserve">1. </w:t>
      </w:r>
      <w:r>
        <w:t>Go to aistudio.google.com/apikey in your browser.</w:t>
      </w:r>
    </w:p>
    <w:p>
      <w:pPr>
        <w:ind w:left="144"/>
      </w:pPr>
      <w:r>
        <w:rPr>
          <w:b/>
        </w:rPr>
        <w:t xml:space="preserve">2. </w:t>
      </w:r>
      <w:r>
        <w:t>Sign in with your Google account.</w:t>
      </w:r>
    </w:p>
    <w:p>
      <w:pPr>
        <w:ind w:left="144"/>
      </w:pPr>
      <w:r>
        <w:rPr>
          <w:b/>
        </w:rPr>
        <w:t xml:space="preserve">3. </w:t>
      </w:r>
      <w:r>
        <w:t>Click Create API Key. Copy the key it generates.</w:t>
      </w:r>
    </w:p>
    <w:p>
      <w:pPr>
        <w:ind w:left="144"/>
      </w:pPr>
      <w:r>
        <w:rPr>
          <w:b/>
        </w:rPr>
        <w:t xml:space="preserve">4. </w:t>
      </w:r>
      <w:r>
        <w:t>Come back to WaxFrame - you are ready to paste it in.</w:t>
      </w:r>
    </w:p>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You need at least two AI keys to run a round. After Gemini, grab a second key from any other provider. DeepSeek is very low cost and a great second choice. OpenAI and Anthropic both offer pay-as-you-go with no monthly minimum.</w:t>
            </w:r>
          </w:p>
        </w:tc>
      </w:tr>
    </w:tbl>
    <w:p>
      <w:pPr>
        <w:pStyle w:val="Heading2"/>
      </w:pPr>
      <w:r>
        <w:t>Where to get keys for all six providers</w:t>
      </w:r>
    </w:p>
    <w:tbl>
      <w:tblPr>
        <w:tblW w:type="auto" w:w="0"/>
        <w:jc w:val="center"/>
        <w:tblLayout w:type="fixed"/>
        <w:tblLook w:firstColumn="1" w:firstRow="1" w:lastColumn="0" w:lastRow="0" w:noHBand="0" w:noVBand="1" w:val="04A0"/>
      </w:tblPr>
      <w:tblGrid>
        <w:gridCol w:w="1800"/>
        <w:gridCol w:w="3888"/>
        <w:gridCol w:w="4104"/>
      </w:tblGrid>
      <w:tr>
        <w:tc>
          <w:tcPr>
            <w:tcW w:type="dxa" w:w="3312"/>
            <w:shd w:fill="E1A22A"/>
            <w:tcMar>
              <w:top w:w="80" w:type="dxa"/>
              <w:start w:w="100" w:type="dxa"/>
              <w:bottom w:w="80" w:type="dxa"/>
              <w:end w:w="100" w:type="dxa"/>
            </w:tcMar>
            <w:tcBorders>
              <w:left w:val="single" w:sz="6" w:color="D9D9D9"/>
              <w:top w:val="single" w:sz="6" w:color="D9D9D9"/>
              <w:right w:val="single" w:sz="6" w:color="D9D9D9"/>
              <w:bottom w:val="single" w:sz="6" w:color="D9D9D9"/>
            </w:tcBorders>
          </w:tcPr>
          <w:p>
            <w:pPr>
              <w:jc w:val="center"/>
            </w:pPr>
            <w:r>
              <w:rPr>
                <w:b/>
                <w:color w:val="FFFFFF"/>
                <w:sz w:val="20"/>
              </w:rPr>
              <w:t>AI</w:t>
            </w:r>
          </w:p>
        </w:tc>
        <w:tc>
          <w:tcPr>
            <w:tcW w:type="dxa" w:w="3312"/>
            <w:shd w:fill="E1A22A"/>
            <w:tcMar>
              <w:top w:w="80" w:type="dxa"/>
              <w:start w:w="100" w:type="dxa"/>
              <w:bottom w:w="80" w:type="dxa"/>
              <w:end w:w="100" w:type="dxa"/>
            </w:tcMar>
            <w:tcBorders>
              <w:left w:val="single" w:sz="6" w:color="D9D9D9"/>
              <w:top w:val="single" w:sz="6" w:color="D9D9D9"/>
              <w:right w:val="single" w:sz="6" w:color="D9D9D9"/>
              <w:bottom w:val="single" w:sz="6" w:color="D9D9D9"/>
            </w:tcBorders>
          </w:tcPr>
          <w:p>
            <w:pPr>
              <w:jc w:val="center"/>
            </w:pPr>
            <w:r>
              <w:rPr>
                <w:b/>
                <w:color w:val="FFFFFF"/>
                <w:sz w:val="20"/>
              </w:rPr>
              <w:t>Sign up at</w:t>
            </w:r>
          </w:p>
        </w:tc>
        <w:tc>
          <w:tcPr>
            <w:tcW w:type="dxa" w:w="3312"/>
            <w:shd w:fill="E1A22A"/>
            <w:tcMar>
              <w:top w:w="80" w:type="dxa"/>
              <w:start w:w="100" w:type="dxa"/>
              <w:bottom w:w="80" w:type="dxa"/>
              <w:end w:w="100" w:type="dxa"/>
            </w:tcMar>
            <w:tcBorders>
              <w:left w:val="single" w:sz="6" w:color="D9D9D9"/>
              <w:top w:val="single" w:sz="6" w:color="D9D9D9"/>
              <w:right w:val="single" w:sz="6" w:color="D9D9D9"/>
              <w:bottom w:val="single" w:sz="6" w:color="D9D9D9"/>
            </w:tcBorders>
          </w:tcPr>
          <w:p>
            <w:pPr>
              <w:jc w:val="center"/>
            </w:pPr>
            <w:r>
              <w:rPr>
                <w:b/>
                <w:color w:val="FFFFFF"/>
                <w:sz w:val="20"/>
              </w:rPr>
              <w:t>Notes</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Gemini</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aistudio.google.com/apikey</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Free tier - no credit card needed to start</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ChatGPT</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platform.openai.com/api-keys</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Pay as you go, no monthly minimum</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Claude</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console.anthropic.com/settings/keys</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Pay as you go, no monthly minimum</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DeepSeek</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platform.deepseek.com/api_keys</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Very low cost per token</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Grok</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console.x.ai</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xAI account required</w:t>
            </w:r>
          </w:p>
        </w:tc>
      </w:tr>
      <w:tr>
        <w:tc>
          <w:tcPr>
            <w:tcW w:type="dxa" w:w="1800"/>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center"/>
            </w:pPr>
            <w:r>
              <w:rPr>
                <w:b/>
                <w:sz w:val="18"/>
              </w:rPr>
              <w:t>Perplexity</w:t>
            </w:r>
          </w:p>
        </w:tc>
        <w:tc>
          <w:tcPr>
            <w:tcW w:type="dxa" w:w="3888"/>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perplexity.ai/settings/api</w:t>
            </w:r>
          </w:p>
        </w:tc>
        <w:tc>
          <w:tcPr>
            <w:tcW w:type="dxa" w:w="4104"/>
            <w:tcMar>
              <w:top w:w="80" w:type="dxa"/>
              <w:start w:w="100" w:type="dxa"/>
              <w:bottom w:w="80" w:type="dxa"/>
              <w:end w:w="100" w:type="dxa"/>
            </w:tcMar>
            <w:vAlign w:val="center"/>
            <w:tcBorders>
              <w:left w:val="single" w:sz="6" w:color="D9D9D9"/>
              <w:top w:val="single" w:sz="6" w:color="D9D9D9"/>
              <w:right w:val="single" w:sz="6" w:color="D9D9D9"/>
              <w:bottom w:val="single" w:sz="6" w:color="D9D9D9"/>
            </w:tcBorders>
          </w:tcPr>
          <w:p>
            <w:pPr>
              <w:jc w:val="left"/>
            </w:pPr>
            <w:r>
              <w:rPr>
                <w:sz w:val="18"/>
              </w:rPr>
              <w:t>Enable auto-billing at signup - see User Manual</w:t>
            </w:r>
          </w:p>
        </w:tc>
      </w:tr>
    </w:tbl>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Perplexity only: enable auto-billing when you first sign up and set your monthly limit to $5. If your initial credit runs out without auto-billing active, Perplexity will require a $50 minimum top-up to reactivate.</w:t>
            </w:r>
          </w:p>
        </w:tc>
      </w:tr>
    </w:tbl>
    <w:p>
      <w:pPr>
        <w:pStyle w:val="Heading1"/>
      </w:pPr>
      <w:r>
        <w:t>4) Set Up Your Worker Bees and Builder</w:t>
      </w:r>
    </w:p>
    <w:p>
      <w:pPr>
        <w:pStyle w:val="Heading2"/>
      </w:pPr>
      <w:r>
        <w:t>The Setup screen is the first thing you see in WaxFrame</w:t>
      </w:r>
    </w:p>
    <w:p>
      <w:pPr>
        <w:spacing w:after="160"/>
        <w:jc w:val="left"/>
      </w:pPr>
      <w:r>
        <w:rPr>
          <w:sz w:val="21"/>
        </w:rPr>
        <w:t>On the left you will see your six Worker Bees - one row for each AI provider. On the right is your Builder selector.</w:t>
      </w:r>
    </w:p>
    <w:p>
      <w:pPr>
        <w:ind w:left="144"/>
      </w:pPr>
      <w:r>
        <w:rPr>
          <w:b/>
        </w:rPr>
        <w:t xml:space="preserve">1. </w:t>
      </w:r>
      <w:r>
        <w:t>Find the AI you have a key for and click its API Key field.</w:t>
      </w:r>
    </w:p>
    <w:p>
      <w:pPr>
        <w:ind w:left="144"/>
      </w:pPr>
      <w:r>
        <w:rPr>
          <w:b/>
        </w:rPr>
        <w:t xml:space="preserve">2. </w:t>
      </w:r>
      <w:r>
        <w:t>Paste your key and press Enter. The row will confirm it is saved.</w:t>
      </w:r>
    </w:p>
    <w:p>
      <w:pPr>
        <w:ind w:left="144"/>
      </w:pPr>
      <w:r>
        <w:rPr>
          <w:b/>
        </w:rPr>
        <w:t xml:space="preserve">3. </w:t>
      </w:r>
      <w:r>
        <w:t>Repeat for any other keys you have.</w:t>
      </w:r>
    </w:p>
    <w:p>
      <w:pPr>
        <w:ind w:left="144"/>
      </w:pPr>
      <w:r>
        <w:rPr>
          <w:b/>
        </w:rPr>
        <w:t xml:space="preserve">4. </w:t>
      </w:r>
      <w:r>
        <w:t>On the right side, click Select Builder and choose one of your keyed AIs. The Builder is the AI that rewrites the document each round - pick one with a paid key for best results. Gemini works as a Builder on the free tier.</w:t>
      </w:r>
    </w:p>
    <w:p>
      <w:pPr>
        <w:ind w:left="144"/>
      </w:pPr>
      <w:r>
        <w:rPr>
          <w:b/>
        </w:rPr>
        <w:t xml:space="preserve">5. </w:t>
      </w:r>
      <w:r>
        <w:t>Once you have at least two keys saved and a Builder selected, Continue to Project Setup will activate at the bottom. Click it.</w:t>
      </w:r>
    </w:p>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Not sure which AI to use as your Builder? Start with Gemini. It handles the Builder role well and costs nothing on the free tier.</w:t>
            </w:r>
          </w:p>
        </w:tc>
      </w:tr>
    </w:tbl>
    <w:p>
      <w:pPr>
        <w:pStyle w:val="Heading1"/>
      </w:pPr>
      <w:r>
        <w:t>5) Start Your First Project and Run a Round</w:t>
      </w:r>
    </w:p>
    <w:p>
      <w:pPr>
        <w:pStyle w:val="Heading2"/>
      </w:pPr>
      <w:r>
        <w:t>Fill in your project details</w:t>
      </w:r>
    </w:p>
    <w:p>
      <w:pPr>
        <w:ind w:left="144"/>
      </w:pPr>
      <w:r>
        <w:rPr>
          <w:b/>
        </w:rPr>
        <w:t xml:space="preserve">1. </w:t>
      </w:r>
      <w:r>
        <w:t>Give your project a Name (for example, 'Product Announcement').</w:t>
      </w:r>
    </w:p>
    <w:p>
      <w:pPr>
        <w:ind w:left="144"/>
      </w:pPr>
      <w:r>
        <w:rPr>
          <w:b/>
        </w:rPr>
        <w:t xml:space="preserve">2. </w:t>
      </w:r>
      <w:r>
        <w:t>Give it a Version - just type 1 to start.</w:t>
      </w:r>
    </w:p>
    <w:p>
      <w:pPr>
        <w:ind w:left="144"/>
      </w:pPr>
      <w:r>
        <w:rPr>
          <w:b/>
        </w:rPr>
        <w:t xml:space="preserve">3. </w:t>
      </w:r>
      <w:r>
        <w:t>Write your Goal. This is the most important thing you will type. Tell the AIs exactly what you want: what the document is, who it is for, what tone to use, what to include, and what to avoid. Be specific.</w:t>
      </w:r>
    </w:p>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Vague goals produce vague documents. Instead of 'write a blog post about AI,' try: 'Write a 600-word blog post for small business owners who are new to AI. Friendly tone, no jargon, focus on three practical uses they can try this week.'</w:t>
            </w:r>
          </w:p>
        </w:tc>
      </w:tr>
    </w:tbl>
    <w:p>
      <w:pPr>
        <w:pStyle w:val="Heading2"/>
      </w:pPr>
      <w:r>
        <w:t>Choose how to start your document</w:t>
      </w:r>
    </w:p>
    <w:p>
      <w:pPr>
        <w:ind w:left="0" w:firstLine="0"/>
      </w:pPr>
      <w:r>
        <w:rPr>
          <w:b/>
        </w:rPr>
        <w:t xml:space="preserve">• </w:t>
      </w:r>
      <w:r>
        <w:t>Upload a file - Word, PDF, PowerPoint, plain text, or Markdown. WaxFrame will refine what is there.</w:t>
      </w:r>
    </w:p>
    <w:p>
      <w:pPr>
        <w:ind w:left="0" w:firstLine="0"/>
      </w:pPr>
      <w:r>
        <w:rPr>
          <w:b/>
        </w:rPr>
        <w:t xml:space="preserve">• </w:t>
      </w:r>
      <w:r>
        <w:t>Paste text - copy existing content and paste it directly into the field.</w:t>
      </w:r>
    </w:p>
    <w:p>
      <w:pPr>
        <w:ind w:left="0" w:firstLine="0"/>
      </w:pPr>
      <w:r>
        <w:rPr>
          <w:b/>
        </w:rPr>
        <w:t xml:space="preserve">• </w:t>
      </w:r>
      <w:r>
        <w:t>Start from Scratch - no document yet. The AIs will write the first draft from your goal.</w:t>
      </w:r>
    </w:p>
    <w:p>
      <w:pPr>
        <w:pStyle w:val="Heading2"/>
      </w:pPr>
      <w:r>
        <w:t>Run your first round</w:t>
      </w:r>
    </w:p>
    <w:p>
      <w:pPr>
        <w:spacing w:after="160"/>
        <w:jc w:val="left"/>
      </w:pPr>
      <w:r>
        <w:rPr>
          <w:sz w:val="21"/>
        </w:rPr>
        <w:t>Click Launch to move to the Work screen. Then click Smoke the Hive.</w:t>
      </w:r>
    </w:p>
    <w:p>
      <w:pPr>
        <w:spacing w:after="160"/>
        <w:jc w:val="left"/>
      </w:pPr>
      <w:r>
        <w:rPr>
          <w:sz w:val="21"/>
        </w:rPr>
        <w:t>Each Worker Bee reads your document and sends back numbered suggestions. Your Builder reads all of them, picks the best ones, resolves any disagreements, and rewrites the full document. The whole thing runs automatically - just watch the Live Console on the right as it happens.</w:t>
      </w:r>
    </w:p>
    <w:p>
      <w:pPr>
        <w:spacing w:after="160"/>
        <w:jc w:val="left"/>
      </w:pPr>
      <w:r>
        <w:rPr>
          <w:sz w:val="21"/>
        </w:rPr>
        <w:t>When the round finishes you will hear a sound and the updated document will appear. Read it. Then run another round, or resolve any conflicts first if there are any.</w:t>
      </w:r>
    </w:p>
    <w:p>
      <w:pPr>
        <w:pStyle w:val="Heading1"/>
      </w:pPr>
      <w:r>
        <w:t>6) What Happens Next</w:t>
      </w:r>
    </w:p>
    <w:p>
      <w:pPr>
        <w:pStyle w:val="Heading2"/>
      </w:pPr>
      <w:r>
        <w:t>Keep going until the document is done</w:t>
      </w:r>
    </w:p>
    <w:p>
      <w:pPr>
        <w:spacing w:after="160"/>
        <w:jc w:val="left"/>
      </w:pPr>
      <w:r>
        <w:rPr>
          <w:sz w:val="21"/>
        </w:rPr>
        <w:t>Run as many rounds as you need. Add a Note before any round to give the Builder specific instructions - redirect focus, fix tone, restructure sections. You can also edit the document directly between rounds.</w:t>
      </w:r>
    </w:p>
    <w:p>
      <w:pPr>
        <w:spacing w:after="160"/>
        <w:jc w:val="left"/>
      </w:pPr>
      <w:r>
        <w:rPr>
          <w:sz w:val="21"/>
        </w:rPr>
        <w:t>When you are satisfied, click Finish. You can export the final document as a text file, or export a full transcript of every round from the History panel.</w:t>
      </w:r>
    </w:p>
    <w:p>
      <w:pPr>
        <w:pStyle w:val="Heading2"/>
      </w:pPr>
      <w:r>
        <w:t>Learn more</w:t>
      </w:r>
    </w:p>
    <w:p>
      <w:pPr>
        <w:spacing w:after="160"/>
        <w:jc w:val="left"/>
      </w:pPr>
      <w:r>
        <w:rPr>
          <w:sz w:val="21"/>
        </w:rPr>
        <w:t>The User Manual covers everything in detail - conflicts, notes, the Builder, custom AIs, internal enterprise setup, billing, tokens, and more.</w:t>
      </w:r>
    </w:p>
    <w:p>
      <w:r>
        <w:t>Open it from inside WaxFrame (look for the User Manual link in the nav menu), or go directly to weirdave.github.io/WaxFrame-Professional/waxframe-user-manual.html</w:t>
      </w:r>
    </w:p>
    <w:tbl>
      <w:tblPr>
        <w:tblW w:type="auto" w:w="0"/>
        <w:jc w:val="center"/>
        <w:tblLayout w:type="fixed"/>
        <w:tblLook w:firstColumn="1" w:firstRow="1" w:lastColumn="0" w:lastRow="0" w:noHBand="0" w:noVBand="1" w:val="04A0"/>
      </w:tblPr>
      <w:tblGrid>
        <w:gridCol w:w="9648"/>
      </w:tblGrid>
      <w:tr>
        <w:tc>
          <w:tcPr>
            <w:tcW w:type="dxa" w:w="9936"/>
            <w:shd w:fill="FAF7F0"/>
            <w:tcMar>
              <w:top w:w="120" w:type="dxa"/>
              <w:start w:w="130" w:type="dxa"/>
              <w:bottom w:w="120" w:type="dxa"/>
              <w:end w:w="130" w:type="dxa"/>
            </w:tcMar>
            <w:tcBorders>
              <w:left w:val="single" w:sz="6" w:color="E7DFC8"/>
              <w:top w:val="single" w:sz="10" w:color="E1A22A"/>
              <w:right w:val="single" w:sz="6" w:color="E7DFC8"/>
              <w:bottom w:val="single" w:sz="6" w:color="E7DFC8"/>
            </w:tcBorders>
          </w:tcPr>
          <w:p>
            <w:r>
              <w:rPr>
                <w:b/>
                <w:color w:val="E1A22A"/>
              </w:rPr>
              <w:t xml:space="preserve">Tip: </w:t>
            </w:r>
            <w:r>
              <w:t>WaxFrame is open source under AGPL-3.0. Source code, issues, and releases are at github.com/WeirDave/WaxFrame-Professional.</w:t>
            </w:r>
          </w:p>
        </w:tc>
      </w:tr>
    </w:tbl>
    <w:sectPr w:rsidR="00FC693F" w:rsidRPr="0006063C" w:rsidSect="00034616">
      <w:headerReference w:type="default" r:id="rId9"/>
      <w:footerReference w:type="default" r:id="rId10"/>
      <w:pgSz w:w="12240" w:h="15840"/>
      <w:pgMar w:top="864" w:right="1152" w:bottom="864"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WaxFrame Professional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1168" cy="201168"/>
          <wp:docPr id="1" name="Picture 1"/>
          <wp:cNvGraphicFramePr>
            <a:graphicFrameLocks noChangeAspect="1"/>
          </wp:cNvGraphicFramePr>
          <a:graphic>
            <a:graphicData uri="http://schemas.openxmlformats.org/drawingml/2006/picture">
              <pic:pic>
                <pic:nvPicPr>
                  <pic:cNvPr id="0" name="Waxframe_logo_v19(1).png"/>
                  <pic:cNvPicPr/>
                </pic:nvPicPr>
                <pic:blipFill>
                  <a:blip r:embed="rId1"/>
                  <a:stretch>
                    <a:fillRect/>
                  </a:stretch>
                </pic:blipFill>
                <pic:spPr>
                  <a:xfrm>
                    <a:off x="0" y="0"/>
                    <a:ext cx="201168" cy="201168"/>
                  </a:xfrm>
                  <a:prstGeom prst="rect"/>
                </pic:spPr>
              </pic:pic>
            </a:graphicData>
          </a:graphic>
        </wp:inline>
      </w:drawing>
    </w:r>
    <w:r>
      <w:rPr>
        <w:rFonts w:ascii="Aptos" w:hAnsi="Aptos"/>
        <w:b/>
        <w:color w:val="E1A22A"/>
        <w:sz w:val="20"/>
      </w:rPr>
      <w:t xml:space="preserve">  Getting Started</w:t>
    </w:r>
  </w:p>
  <w:p>
    <w:pPr>
      <w:pBdr>
        <w:bottom w:val="single" w:sz="8" w:space="1" w:color="D0D0D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E1A22A"/>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FFFF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Subtitle">
    <w:name w:val="Brand Subtitle"/>
    <w:pPr>
      <w:spacing w:after="120"/>
    </w:pPr>
    <w:rPr>
      <w:rFonts w:ascii="Aptos" w:hAnsi="Aptos"/>
      <w:i/>
      <w:color w:val="E1A22A"/>
      <w:sz w:val="26"/>
    </w:rPr>
  </w:style>
  <w:style w:type="paragraph" w:customStyle="1" w:styleId="Meta">
    <w:name w:val="Meta"/>
    <w:pPr>
      <w:spacing w:after="120"/>
    </w:pPr>
    <w:rPr>
      <w:rFonts w:ascii="Aptos" w:hAnsi="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