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493BE" w14:textId="147D1760" w:rsidR="00922BE8" w:rsidRPr="00F07B10" w:rsidRDefault="00526F65" w:rsidP="00B3695C">
      <w:pPr>
        <w:pStyle w:val="Heading1"/>
        <w:spacing w:before="0" w:after="0" w:line="240" w:lineRule="auto"/>
        <w:rPr>
          <w:rFonts w:ascii="Arial" w:hAnsi="Arial" w:cs="Arial"/>
        </w:rPr>
      </w:pPr>
      <w:r w:rsidRPr="00F07B10">
        <w:rPr>
          <w:rFonts w:ascii="Arial" w:hAnsi="Arial" w:cs="Arial"/>
        </w:rPr>
        <w:t>Supplementary Data Legends</w:t>
      </w:r>
    </w:p>
    <w:p w14:paraId="398BF580" w14:textId="77777777" w:rsidR="00F07B10" w:rsidRPr="00F07B10" w:rsidRDefault="00F07B10" w:rsidP="00F07B10">
      <w:pPr>
        <w:rPr>
          <w:rFonts w:ascii="Arial" w:hAnsi="Arial" w:cs="Arial"/>
        </w:rPr>
      </w:pPr>
    </w:p>
    <w:p w14:paraId="465ACF14" w14:textId="23ADA340" w:rsidR="00526F65" w:rsidRPr="00F07B10" w:rsidRDefault="00526F65" w:rsidP="00B3695C">
      <w:pPr>
        <w:spacing w:after="0" w:line="240" w:lineRule="auto"/>
        <w:rPr>
          <w:rFonts w:ascii="Arial" w:hAnsi="Arial" w:cs="Arial"/>
        </w:rPr>
      </w:pPr>
      <w:r w:rsidRPr="00F07B10">
        <w:rPr>
          <w:rFonts w:ascii="Arial" w:hAnsi="Arial" w:cs="Arial"/>
        </w:rPr>
        <w:t>All Supplementary Data legends listed here can also be found in the README sheet of each Supplementary Data XLSX file.</w:t>
      </w:r>
    </w:p>
    <w:p w14:paraId="5A1C9ADC" w14:textId="77777777" w:rsidR="00B3695C" w:rsidRDefault="00B3695C" w:rsidP="00B3695C">
      <w:pPr>
        <w:spacing w:after="0" w:line="240" w:lineRule="auto"/>
        <w:rPr>
          <w:rFonts w:ascii="Arial" w:hAnsi="Arial" w:cs="Arial"/>
        </w:rPr>
      </w:pPr>
    </w:p>
    <w:p w14:paraId="7C298B35" w14:textId="77777777" w:rsidR="00F07B10" w:rsidRPr="00F07B10" w:rsidRDefault="00F07B10" w:rsidP="00B3695C">
      <w:pPr>
        <w:spacing w:after="0" w:line="240" w:lineRule="auto"/>
        <w:rPr>
          <w:rFonts w:ascii="Arial" w:hAnsi="Arial" w:cs="Arial"/>
        </w:rPr>
      </w:pPr>
    </w:p>
    <w:p w14:paraId="3D8E8BEC" w14:textId="77777777" w:rsidR="00894FB5" w:rsidRPr="00F07B10" w:rsidRDefault="00894FB5" w:rsidP="00894FB5">
      <w:pPr>
        <w:spacing w:after="0" w:line="240" w:lineRule="auto"/>
        <w:rPr>
          <w:rFonts w:ascii="Arial" w:hAnsi="Arial" w:cs="Arial"/>
        </w:rPr>
      </w:pPr>
      <w:r w:rsidRPr="00F07B10">
        <w:rPr>
          <w:rFonts w:ascii="Arial" w:hAnsi="Arial" w:cs="Arial"/>
          <w:b/>
          <w:bCs/>
          <w:u w:val="single"/>
        </w:rPr>
        <w:t>Supplementary Data 1:</w:t>
      </w:r>
    </w:p>
    <w:p w14:paraId="209AB5AD" w14:textId="77777777" w:rsidR="00894FB5" w:rsidRPr="00F07B10" w:rsidRDefault="00894FB5" w:rsidP="00894FB5">
      <w:pPr>
        <w:spacing w:after="0" w:line="240" w:lineRule="auto"/>
        <w:rPr>
          <w:rFonts w:ascii="Arial" w:hAnsi="Arial" w:cs="Arial"/>
        </w:rPr>
      </w:pPr>
    </w:p>
    <w:p w14:paraId="6A3878A0" w14:textId="77777777" w:rsidR="00894FB5" w:rsidRPr="00F07B10" w:rsidRDefault="00894FB5" w:rsidP="00894FB5">
      <w:pPr>
        <w:spacing w:after="0" w:line="240" w:lineRule="auto"/>
        <w:rPr>
          <w:rFonts w:ascii="Arial" w:hAnsi="Arial" w:cs="Arial"/>
          <w:b/>
          <w:bCs/>
          <w:i/>
          <w:iCs/>
        </w:rPr>
      </w:pPr>
      <w:r w:rsidRPr="00F07B10">
        <w:rPr>
          <w:rFonts w:ascii="Arial" w:hAnsi="Arial" w:cs="Arial"/>
          <w:b/>
          <w:bCs/>
          <w:i/>
          <w:iCs/>
        </w:rPr>
        <w:t>Summary statistics for additional covariates across both cohorts.</w:t>
      </w:r>
    </w:p>
    <w:p w14:paraId="1378769B" w14:textId="77777777" w:rsidR="00894FB5" w:rsidRPr="00F07B10" w:rsidRDefault="00894FB5" w:rsidP="00894FB5">
      <w:pPr>
        <w:spacing w:after="0" w:line="240" w:lineRule="auto"/>
        <w:rPr>
          <w:rFonts w:ascii="Arial" w:hAnsi="Arial" w:cs="Arial"/>
          <w:b/>
          <w:bCs/>
          <w:i/>
          <w:iCs/>
        </w:rPr>
      </w:pPr>
    </w:p>
    <w:p w14:paraId="71CB910C" w14:textId="33E980D8" w:rsidR="00487A16" w:rsidRPr="00F07B10" w:rsidRDefault="00203862" w:rsidP="00B3695C">
      <w:pPr>
        <w:spacing w:after="0" w:line="240" w:lineRule="auto"/>
        <w:rPr>
          <w:rFonts w:ascii="Arial" w:hAnsi="Arial" w:cs="Arial"/>
        </w:rPr>
      </w:pPr>
      <w:r w:rsidRPr="00203862">
        <w:rPr>
          <w:rFonts w:ascii="Arial" w:hAnsi="Arial" w:cs="Arial"/>
        </w:rPr>
        <w:t>This document contains the summary statistics for each of the ten additional health-related and sociodemographic variables that were considered as possible confounders.  For continuous variables, the mean, standard deviation, and range are presented. For categorical variables, counts for each group are included. Note that the resolution for age differed between cohorts, with the UK Biobank having a resolution of one month, while TriNetX only provided a resolution of one year.</w:t>
      </w:r>
    </w:p>
    <w:p w14:paraId="30C9CC38" w14:textId="77777777" w:rsidR="00894FB5" w:rsidRPr="00F07B10" w:rsidRDefault="00894FB5" w:rsidP="00B3695C">
      <w:pPr>
        <w:spacing w:after="0" w:line="240" w:lineRule="auto"/>
        <w:rPr>
          <w:rFonts w:ascii="Arial" w:hAnsi="Arial" w:cs="Arial"/>
        </w:rPr>
      </w:pPr>
    </w:p>
    <w:p w14:paraId="17AC27E4" w14:textId="49542CBF" w:rsidR="00592A6E" w:rsidRPr="00F07B10" w:rsidRDefault="00526F65" w:rsidP="00B3695C">
      <w:pPr>
        <w:spacing w:after="0" w:line="240" w:lineRule="auto"/>
        <w:rPr>
          <w:rFonts w:ascii="Arial" w:hAnsi="Arial" w:cs="Arial"/>
        </w:rPr>
      </w:pPr>
      <w:r w:rsidRPr="00F07B10">
        <w:rPr>
          <w:rFonts w:ascii="Arial" w:hAnsi="Arial" w:cs="Arial"/>
          <w:b/>
          <w:bCs/>
          <w:u w:val="single"/>
        </w:rPr>
        <w:t xml:space="preserve">Supplementary Data </w:t>
      </w:r>
      <w:r w:rsidR="00894FB5" w:rsidRPr="00F07B10">
        <w:rPr>
          <w:rFonts w:ascii="Arial" w:hAnsi="Arial" w:cs="Arial"/>
          <w:b/>
          <w:bCs/>
          <w:u w:val="single"/>
        </w:rPr>
        <w:t>2</w:t>
      </w:r>
      <w:r w:rsidRPr="00F07B10">
        <w:rPr>
          <w:rFonts w:ascii="Arial" w:hAnsi="Arial" w:cs="Arial"/>
          <w:b/>
          <w:bCs/>
          <w:u w:val="single"/>
        </w:rPr>
        <w:t>:</w:t>
      </w:r>
    </w:p>
    <w:p w14:paraId="14E424A4" w14:textId="444EA210" w:rsidR="007150B4" w:rsidRPr="00F07B10" w:rsidRDefault="007150B4" w:rsidP="00B3695C">
      <w:pPr>
        <w:spacing w:after="0" w:line="240" w:lineRule="auto"/>
        <w:rPr>
          <w:rFonts w:ascii="Arial" w:hAnsi="Arial" w:cs="Arial"/>
        </w:rPr>
      </w:pPr>
    </w:p>
    <w:p w14:paraId="0D1F249B" w14:textId="3CF53396" w:rsidR="00487A16" w:rsidRPr="00F07B10" w:rsidRDefault="007F68A6" w:rsidP="00B3695C">
      <w:pPr>
        <w:spacing w:after="0" w:line="240" w:lineRule="auto"/>
        <w:rPr>
          <w:rFonts w:ascii="Arial" w:hAnsi="Arial" w:cs="Arial"/>
          <w:b/>
          <w:bCs/>
          <w:i/>
          <w:iCs/>
        </w:rPr>
      </w:pPr>
      <w:r w:rsidRPr="007F68A6">
        <w:rPr>
          <w:rFonts w:ascii="Arial" w:hAnsi="Arial" w:cs="Arial"/>
          <w:b/>
          <w:bCs/>
          <w:i/>
          <w:iCs/>
        </w:rPr>
        <w:t>Full pathogen-Phecode results across both the UK Biobank and TriNetX.</w:t>
      </w:r>
    </w:p>
    <w:p w14:paraId="095859BB" w14:textId="77777777" w:rsidR="00487A16" w:rsidRPr="00F07B10" w:rsidRDefault="00487A16" w:rsidP="00B3695C">
      <w:pPr>
        <w:spacing w:after="0" w:line="240" w:lineRule="auto"/>
        <w:rPr>
          <w:rFonts w:ascii="Arial" w:hAnsi="Arial" w:cs="Arial"/>
          <w:i/>
          <w:iCs/>
        </w:rPr>
      </w:pPr>
    </w:p>
    <w:p w14:paraId="71BE2116" w14:textId="77777777" w:rsidR="00487A16" w:rsidRPr="00F07B10" w:rsidRDefault="00B3695C" w:rsidP="00B3695C">
      <w:pPr>
        <w:spacing w:after="0" w:line="240" w:lineRule="auto"/>
        <w:rPr>
          <w:rFonts w:ascii="Arial" w:hAnsi="Arial" w:cs="Arial"/>
        </w:rPr>
      </w:pPr>
      <w:r w:rsidRPr="00F07B10">
        <w:rPr>
          <w:rFonts w:ascii="Arial" w:hAnsi="Arial" w:cs="Arial"/>
        </w:rPr>
        <w:t>This document contains the results from the Phecode analysis, where Phecodes replaced International Classification of Diseases 10th revision (ICD10) codes as the endpoint. The analysis was otherwise identical to our ICD10-based analysis, with association test results for all 18,934 pathogen-Phecode pair tests.</w:t>
      </w:r>
    </w:p>
    <w:p w14:paraId="62CA3E31" w14:textId="7ECBF68B" w:rsidR="00B3695C" w:rsidRPr="00F07B10" w:rsidRDefault="00B3695C" w:rsidP="00B3695C">
      <w:pPr>
        <w:spacing w:after="0" w:line="240" w:lineRule="auto"/>
        <w:rPr>
          <w:rFonts w:ascii="Arial" w:hAnsi="Arial" w:cs="Arial"/>
        </w:rPr>
      </w:pPr>
    </w:p>
    <w:p w14:paraId="0FBD9F8C" w14:textId="77777777" w:rsidR="00526F65" w:rsidRPr="00F07B10" w:rsidRDefault="00526F65" w:rsidP="00B3695C">
      <w:pPr>
        <w:spacing w:after="0" w:line="240" w:lineRule="auto"/>
        <w:rPr>
          <w:rFonts w:ascii="Arial" w:hAnsi="Arial" w:cs="Arial"/>
        </w:rPr>
      </w:pPr>
    </w:p>
    <w:p w14:paraId="39C09339" w14:textId="37CAEE1A" w:rsidR="00592A6E" w:rsidRPr="00F07B10" w:rsidRDefault="00526F65" w:rsidP="00B3695C">
      <w:pPr>
        <w:spacing w:after="0" w:line="240" w:lineRule="auto"/>
        <w:rPr>
          <w:rFonts w:ascii="Arial" w:hAnsi="Arial" w:cs="Arial"/>
          <w:b/>
          <w:bCs/>
        </w:rPr>
      </w:pPr>
      <w:r w:rsidRPr="00F07B10">
        <w:rPr>
          <w:rFonts w:ascii="Arial" w:hAnsi="Arial" w:cs="Arial"/>
          <w:b/>
          <w:bCs/>
          <w:u w:val="single"/>
        </w:rPr>
        <w:t xml:space="preserve">Supplementary Data </w:t>
      </w:r>
      <w:r w:rsidR="00894FB5" w:rsidRPr="00F07B10">
        <w:rPr>
          <w:rFonts w:ascii="Arial" w:hAnsi="Arial" w:cs="Arial"/>
          <w:b/>
          <w:bCs/>
          <w:u w:val="single"/>
        </w:rPr>
        <w:t>3</w:t>
      </w:r>
      <w:r w:rsidRPr="00F07B10">
        <w:rPr>
          <w:rFonts w:ascii="Arial" w:hAnsi="Arial" w:cs="Arial"/>
          <w:b/>
          <w:bCs/>
          <w:u w:val="single"/>
        </w:rPr>
        <w:t>:</w:t>
      </w:r>
    </w:p>
    <w:p w14:paraId="09D88AF5" w14:textId="428314C5" w:rsidR="007150B4" w:rsidRPr="00F07B10" w:rsidRDefault="007150B4" w:rsidP="00B3695C">
      <w:pPr>
        <w:spacing w:after="0" w:line="240" w:lineRule="auto"/>
        <w:rPr>
          <w:rFonts w:ascii="Arial" w:hAnsi="Arial" w:cs="Arial"/>
          <w:b/>
          <w:bCs/>
        </w:rPr>
      </w:pPr>
    </w:p>
    <w:p w14:paraId="27824E30" w14:textId="77777777" w:rsidR="00487A16" w:rsidRPr="00F07B10" w:rsidRDefault="00B3695C" w:rsidP="00B3695C">
      <w:pPr>
        <w:spacing w:after="0" w:line="240" w:lineRule="auto"/>
        <w:rPr>
          <w:rFonts w:ascii="Arial" w:hAnsi="Arial" w:cs="Arial"/>
          <w:b/>
          <w:bCs/>
          <w:i/>
          <w:iCs/>
        </w:rPr>
      </w:pPr>
      <w:r w:rsidRPr="00F07B10">
        <w:rPr>
          <w:rFonts w:ascii="Arial" w:hAnsi="Arial" w:cs="Arial"/>
          <w:b/>
          <w:bCs/>
          <w:i/>
          <w:iCs/>
        </w:rPr>
        <w:t>Top 175 log product frequency ranked results that were manually reviewed to assemble “Tier 2” positive controls.</w:t>
      </w:r>
    </w:p>
    <w:p w14:paraId="618FD16E" w14:textId="77777777" w:rsidR="00487A16" w:rsidRPr="00F07B10" w:rsidRDefault="00487A16" w:rsidP="00B3695C">
      <w:pPr>
        <w:spacing w:after="0" w:line="240" w:lineRule="auto"/>
        <w:rPr>
          <w:rFonts w:ascii="Arial" w:hAnsi="Arial" w:cs="Arial"/>
          <w:b/>
          <w:bCs/>
          <w:i/>
          <w:iCs/>
        </w:rPr>
      </w:pPr>
    </w:p>
    <w:p w14:paraId="53826E03" w14:textId="77777777" w:rsidR="00487A16" w:rsidRPr="00F07B10" w:rsidRDefault="00B3695C" w:rsidP="00B3695C">
      <w:pPr>
        <w:spacing w:after="0" w:line="240" w:lineRule="auto"/>
        <w:rPr>
          <w:rFonts w:ascii="Arial" w:hAnsi="Arial" w:cs="Arial"/>
        </w:rPr>
      </w:pPr>
      <w:r w:rsidRPr="00F07B10">
        <w:rPr>
          <w:rFonts w:ascii="Arial" w:hAnsi="Arial" w:cs="Arial"/>
        </w:rPr>
        <w:t>This document contains the top 175 most co-cited pathogen-disease pairs as determined by a negated form of the log product frequency (LPF), where the closer the LPF value is to zero, the more commonly the disease and pathogen are found to be co-cited rather than cited individually. After manual review, we limited this list to just pairs with a ‘High’ level of evidence, leaving us with 83 “Tier 2” positive controls. The column “Evidence” contains the evidence level classification, “Mechanism” indicates whether there is a known mechanism by which the pathogen is involved with the disease, “Notes” contains notes taken by M.L. while reviewing, and the “Reference” column includes information about which references were used in the filling of the previously mentioned columns.</w:t>
      </w:r>
    </w:p>
    <w:p w14:paraId="4DC33DE8" w14:textId="77777777" w:rsidR="00487A16" w:rsidRPr="00F07B10" w:rsidRDefault="00487A16" w:rsidP="00B3695C">
      <w:pPr>
        <w:spacing w:after="0" w:line="240" w:lineRule="auto"/>
        <w:rPr>
          <w:rFonts w:ascii="Arial" w:hAnsi="Arial" w:cs="Arial"/>
          <w:b/>
          <w:bCs/>
        </w:rPr>
      </w:pPr>
    </w:p>
    <w:p w14:paraId="7292A7BB" w14:textId="77777777" w:rsidR="00487A16" w:rsidRPr="00F07B10" w:rsidRDefault="00487A16" w:rsidP="00B3695C">
      <w:pPr>
        <w:spacing w:after="0" w:line="240" w:lineRule="auto"/>
        <w:rPr>
          <w:rFonts w:ascii="Arial" w:hAnsi="Arial" w:cs="Arial"/>
          <w:b/>
          <w:bCs/>
        </w:rPr>
      </w:pPr>
    </w:p>
    <w:p w14:paraId="4DE74925" w14:textId="1F38BBB1" w:rsidR="00592A6E" w:rsidRPr="00F07B10" w:rsidRDefault="00526F65" w:rsidP="00B3695C">
      <w:pPr>
        <w:spacing w:after="0" w:line="240" w:lineRule="auto"/>
        <w:rPr>
          <w:rFonts w:ascii="Arial" w:hAnsi="Arial" w:cs="Arial"/>
        </w:rPr>
      </w:pPr>
      <w:r w:rsidRPr="00F07B10">
        <w:rPr>
          <w:rFonts w:ascii="Arial" w:hAnsi="Arial" w:cs="Arial"/>
          <w:b/>
          <w:bCs/>
          <w:u w:val="single"/>
        </w:rPr>
        <w:t xml:space="preserve">Supplementary Data </w:t>
      </w:r>
      <w:r w:rsidR="00894FB5" w:rsidRPr="00F07B10">
        <w:rPr>
          <w:rFonts w:ascii="Arial" w:hAnsi="Arial" w:cs="Arial"/>
          <w:b/>
          <w:bCs/>
          <w:u w:val="single"/>
        </w:rPr>
        <w:t>4</w:t>
      </w:r>
      <w:r w:rsidRPr="00F07B10">
        <w:rPr>
          <w:rFonts w:ascii="Arial" w:hAnsi="Arial" w:cs="Arial"/>
          <w:b/>
          <w:bCs/>
          <w:u w:val="single"/>
        </w:rPr>
        <w:t>:</w:t>
      </w:r>
    </w:p>
    <w:p w14:paraId="6A8761D6" w14:textId="2BDCBA64" w:rsidR="007150B4" w:rsidRPr="00F07B10" w:rsidRDefault="007150B4" w:rsidP="00B3695C">
      <w:pPr>
        <w:spacing w:after="0" w:line="240" w:lineRule="auto"/>
        <w:rPr>
          <w:rFonts w:ascii="Arial" w:hAnsi="Arial" w:cs="Arial"/>
          <w:b/>
          <w:bCs/>
          <w:i/>
          <w:iCs/>
        </w:rPr>
      </w:pPr>
    </w:p>
    <w:p w14:paraId="0B754AF5" w14:textId="4D69AFBA" w:rsidR="00526F65" w:rsidRPr="00F07B10" w:rsidRDefault="00370C5E" w:rsidP="00B3695C">
      <w:pPr>
        <w:spacing w:after="0" w:line="240" w:lineRule="auto"/>
        <w:rPr>
          <w:rFonts w:ascii="Arial" w:hAnsi="Arial" w:cs="Arial"/>
          <w:b/>
          <w:bCs/>
          <w:i/>
          <w:iCs/>
        </w:rPr>
      </w:pPr>
      <w:r w:rsidRPr="00F07B10">
        <w:rPr>
          <w:rFonts w:ascii="Arial" w:hAnsi="Arial" w:cs="Arial"/>
          <w:b/>
          <w:bCs/>
          <w:i/>
          <w:iCs/>
        </w:rPr>
        <w:t>Automated PubMed querying and log product frequency calculation results.</w:t>
      </w:r>
    </w:p>
    <w:p w14:paraId="562ADECC" w14:textId="77777777" w:rsidR="00487A16" w:rsidRPr="00F07B10" w:rsidRDefault="00487A16" w:rsidP="00370C5E">
      <w:pPr>
        <w:spacing w:after="0" w:line="240" w:lineRule="auto"/>
        <w:rPr>
          <w:rFonts w:ascii="Arial" w:hAnsi="Arial" w:cs="Arial"/>
        </w:rPr>
      </w:pPr>
    </w:p>
    <w:p w14:paraId="5C787CA9" w14:textId="1DB254C4" w:rsidR="00487A16" w:rsidRPr="00F07B10" w:rsidRDefault="00370C5E" w:rsidP="00370C5E">
      <w:pPr>
        <w:spacing w:after="0" w:line="240" w:lineRule="auto"/>
        <w:rPr>
          <w:rFonts w:ascii="Arial" w:hAnsi="Arial" w:cs="Arial"/>
        </w:rPr>
      </w:pPr>
      <w:r w:rsidRPr="00F07B10">
        <w:rPr>
          <w:rFonts w:ascii="Arial" w:hAnsi="Arial" w:cs="Arial"/>
        </w:rPr>
        <w:t>This document contains several sheets, including the calculation of the negated form of the log product frequency (LPF) values for all (426 disease x 20 pathogens) 8,520 disease-pathogen pairs (</w:t>
      </w:r>
      <w:proofErr w:type="spellStart"/>
      <w:r w:rsidRPr="00F07B10">
        <w:rPr>
          <w:rFonts w:ascii="Arial" w:hAnsi="Arial" w:cs="Arial"/>
        </w:rPr>
        <w:t>LPF_data</w:t>
      </w:r>
      <w:proofErr w:type="spellEnd"/>
      <w:r w:rsidRPr="00F07B10">
        <w:rPr>
          <w:rFonts w:ascii="Arial" w:hAnsi="Arial" w:cs="Arial"/>
        </w:rPr>
        <w:t xml:space="preserve"> sheet). Because the LPF equation (</w:t>
      </w:r>
      <w:r w:rsidR="007F68A6" w:rsidRPr="007F68A6">
        <w:rPr>
          <w:rFonts w:ascii="Arial" w:hAnsi="Arial" w:cs="Arial"/>
          <w:b/>
          <w:bCs/>
        </w:rPr>
        <w:t>Figure S1b</w:t>
      </w:r>
      <w:r w:rsidRPr="00F07B10">
        <w:rPr>
          <w:rFonts w:ascii="Arial" w:hAnsi="Arial" w:cs="Arial"/>
        </w:rPr>
        <w:t>) contains a log10 transform, the LPF value equals positive infinity for any disease-pathogen pairs with zero co-citations. All three sheets contain the PubMed queries run (“</w:t>
      </w:r>
      <w:proofErr w:type="spellStart"/>
      <w:r w:rsidRPr="00F07B10">
        <w:rPr>
          <w:rFonts w:ascii="Arial" w:hAnsi="Arial" w:cs="Arial"/>
        </w:rPr>
        <w:t>pair_query</w:t>
      </w:r>
      <w:proofErr w:type="spellEnd"/>
      <w:r w:rsidRPr="00F07B10">
        <w:rPr>
          <w:rFonts w:ascii="Arial" w:hAnsi="Arial" w:cs="Arial"/>
        </w:rPr>
        <w:t>” on “</w:t>
      </w:r>
      <w:proofErr w:type="spellStart"/>
      <w:r w:rsidRPr="00F07B10">
        <w:rPr>
          <w:rFonts w:ascii="Arial" w:hAnsi="Arial" w:cs="Arial"/>
        </w:rPr>
        <w:t>LPF_data</w:t>
      </w:r>
      <w:proofErr w:type="spellEnd"/>
      <w:r w:rsidRPr="00F07B10">
        <w:rPr>
          <w:rFonts w:ascii="Arial" w:hAnsi="Arial" w:cs="Arial"/>
        </w:rPr>
        <w:t>” sheet, “</w:t>
      </w:r>
      <w:proofErr w:type="spellStart"/>
      <w:r w:rsidRPr="00F07B10">
        <w:rPr>
          <w:rFonts w:ascii="Arial" w:hAnsi="Arial" w:cs="Arial"/>
        </w:rPr>
        <w:t>dis_query</w:t>
      </w:r>
      <w:proofErr w:type="spellEnd"/>
      <w:r w:rsidRPr="00F07B10">
        <w:rPr>
          <w:rFonts w:ascii="Arial" w:hAnsi="Arial" w:cs="Arial"/>
        </w:rPr>
        <w:t>” on “</w:t>
      </w:r>
      <w:proofErr w:type="spellStart"/>
      <w:r w:rsidRPr="00F07B10">
        <w:rPr>
          <w:rFonts w:ascii="Arial" w:hAnsi="Arial" w:cs="Arial"/>
        </w:rPr>
        <w:t>disease_info</w:t>
      </w:r>
      <w:proofErr w:type="spellEnd"/>
      <w:r w:rsidRPr="00F07B10">
        <w:rPr>
          <w:rFonts w:ascii="Arial" w:hAnsi="Arial" w:cs="Arial"/>
        </w:rPr>
        <w:t>” sheet, and “</w:t>
      </w:r>
      <w:proofErr w:type="spellStart"/>
      <w:r w:rsidRPr="00F07B10">
        <w:rPr>
          <w:rFonts w:ascii="Arial" w:hAnsi="Arial" w:cs="Arial"/>
        </w:rPr>
        <w:t>path_query</w:t>
      </w:r>
      <w:proofErr w:type="spellEnd"/>
      <w:r w:rsidRPr="00F07B10">
        <w:rPr>
          <w:rFonts w:ascii="Arial" w:hAnsi="Arial" w:cs="Arial"/>
        </w:rPr>
        <w:t>” on “</w:t>
      </w:r>
      <w:proofErr w:type="spellStart"/>
      <w:r w:rsidRPr="00F07B10">
        <w:rPr>
          <w:rFonts w:ascii="Arial" w:hAnsi="Arial" w:cs="Arial"/>
        </w:rPr>
        <w:t>path_info</w:t>
      </w:r>
      <w:proofErr w:type="spellEnd"/>
      <w:r w:rsidRPr="00F07B10">
        <w:rPr>
          <w:rFonts w:ascii="Arial" w:hAnsi="Arial" w:cs="Arial"/>
        </w:rPr>
        <w:t>” sheet) to get the PubMed IDs (PMIDs) containing either the co-citations or individual citations (“</w:t>
      </w:r>
      <w:proofErr w:type="spellStart"/>
      <w:r w:rsidRPr="00F07B10">
        <w:rPr>
          <w:rFonts w:ascii="Arial" w:hAnsi="Arial" w:cs="Arial"/>
        </w:rPr>
        <w:t>pair_PMIDs</w:t>
      </w:r>
      <w:proofErr w:type="spellEnd"/>
      <w:r w:rsidRPr="00F07B10">
        <w:rPr>
          <w:rFonts w:ascii="Arial" w:hAnsi="Arial" w:cs="Arial"/>
        </w:rPr>
        <w:t>” column for co-citations and “</w:t>
      </w:r>
      <w:proofErr w:type="spellStart"/>
      <w:r w:rsidRPr="00F07B10">
        <w:rPr>
          <w:rFonts w:ascii="Arial" w:hAnsi="Arial" w:cs="Arial"/>
        </w:rPr>
        <w:t>dis_PMIDs</w:t>
      </w:r>
      <w:proofErr w:type="spellEnd"/>
      <w:r w:rsidRPr="00F07B10">
        <w:rPr>
          <w:rFonts w:ascii="Arial" w:hAnsi="Arial" w:cs="Arial"/>
        </w:rPr>
        <w:t>” or “</w:t>
      </w:r>
      <w:proofErr w:type="spellStart"/>
      <w:r w:rsidRPr="00F07B10">
        <w:rPr>
          <w:rFonts w:ascii="Arial" w:hAnsi="Arial" w:cs="Arial"/>
        </w:rPr>
        <w:t>path_PMIDs</w:t>
      </w:r>
      <w:proofErr w:type="spellEnd"/>
      <w:r w:rsidRPr="00F07B10">
        <w:rPr>
          <w:rFonts w:ascii="Arial" w:hAnsi="Arial" w:cs="Arial"/>
        </w:rPr>
        <w:t>” columns for citations for each disease or pathogen by itself), and the total count of PMIDs found for a co-citation or individual citations (“</w:t>
      </w:r>
      <w:proofErr w:type="spellStart"/>
      <w:r w:rsidRPr="00F07B10">
        <w:rPr>
          <w:rFonts w:ascii="Arial" w:hAnsi="Arial" w:cs="Arial"/>
        </w:rPr>
        <w:t>pair_count</w:t>
      </w:r>
      <w:proofErr w:type="spellEnd"/>
      <w:r w:rsidRPr="00F07B10">
        <w:rPr>
          <w:rFonts w:ascii="Arial" w:hAnsi="Arial" w:cs="Arial"/>
        </w:rPr>
        <w:t>” column for number of co-citations, “</w:t>
      </w:r>
      <w:proofErr w:type="spellStart"/>
      <w:r w:rsidRPr="00F07B10">
        <w:rPr>
          <w:rFonts w:ascii="Arial" w:hAnsi="Arial" w:cs="Arial"/>
        </w:rPr>
        <w:t>dis_count</w:t>
      </w:r>
      <w:proofErr w:type="spellEnd"/>
      <w:r w:rsidRPr="00F07B10">
        <w:rPr>
          <w:rFonts w:ascii="Arial" w:hAnsi="Arial" w:cs="Arial"/>
        </w:rPr>
        <w:t>” and “</w:t>
      </w:r>
      <w:proofErr w:type="spellStart"/>
      <w:r w:rsidRPr="00F07B10">
        <w:rPr>
          <w:rFonts w:ascii="Arial" w:hAnsi="Arial" w:cs="Arial"/>
        </w:rPr>
        <w:t>path_count</w:t>
      </w:r>
      <w:proofErr w:type="spellEnd"/>
      <w:r w:rsidRPr="00F07B10">
        <w:rPr>
          <w:rFonts w:ascii="Arial" w:hAnsi="Arial" w:cs="Arial"/>
        </w:rPr>
        <w:t>” for number of citations for each disease or pathogen individually).</w:t>
      </w:r>
    </w:p>
    <w:p w14:paraId="15535748" w14:textId="77777777" w:rsidR="00487A16" w:rsidRPr="00F07B10" w:rsidRDefault="00487A16" w:rsidP="00370C5E">
      <w:pPr>
        <w:spacing w:after="0" w:line="240" w:lineRule="auto"/>
        <w:rPr>
          <w:rFonts w:ascii="Arial" w:hAnsi="Arial" w:cs="Arial"/>
        </w:rPr>
      </w:pPr>
    </w:p>
    <w:p w14:paraId="1A508BAD" w14:textId="77777777" w:rsidR="00526F65" w:rsidRPr="00F07B10" w:rsidRDefault="00526F65" w:rsidP="00B3695C">
      <w:pPr>
        <w:spacing w:after="0" w:line="240" w:lineRule="auto"/>
        <w:rPr>
          <w:rFonts w:ascii="Arial" w:hAnsi="Arial" w:cs="Arial"/>
        </w:rPr>
      </w:pPr>
    </w:p>
    <w:p w14:paraId="11A2D6E7" w14:textId="4DADF9B2" w:rsidR="00592A6E" w:rsidRPr="00F07B10" w:rsidRDefault="00526F65" w:rsidP="00B3695C">
      <w:pPr>
        <w:spacing w:after="0" w:line="240" w:lineRule="auto"/>
        <w:rPr>
          <w:rFonts w:ascii="Arial" w:hAnsi="Arial" w:cs="Arial"/>
        </w:rPr>
      </w:pPr>
      <w:r w:rsidRPr="00F07B10">
        <w:rPr>
          <w:rFonts w:ascii="Arial" w:hAnsi="Arial" w:cs="Arial"/>
          <w:b/>
          <w:bCs/>
          <w:u w:val="single"/>
        </w:rPr>
        <w:t xml:space="preserve">Supplementary Data </w:t>
      </w:r>
      <w:r w:rsidR="00894FB5" w:rsidRPr="00F07B10">
        <w:rPr>
          <w:rFonts w:ascii="Arial" w:hAnsi="Arial" w:cs="Arial"/>
          <w:b/>
          <w:bCs/>
          <w:u w:val="single"/>
        </w:rPr>
        <w:t>5</w:t>
      </w:r>
      <w:r w:rsidRPr="00F07B10">
        <w:rPr>
          <w:rFonts w:ascii="Arial" w:hAnsi="Arial" w:cs="Arial"/>
          <w:b/>
          <w:bCs/>
          <w:u w:val="single"/>
        </w:rPr>
        <w:t>:</w:t>
      </w:r>
    </w:p>
    <w:p w14:paraId="6B5A60D1" w14:textId="3CEE00D6" w:rsidR="007150B4" w:rsidRPr="00F07B10" w:rsidRDefault="007150B4" w:rsidP="00B3695C">
      <w:pPr>
        <w:spacing w:after="0" w:line="240" w:lineRule="auto"/>
        <w:rPr>
          <w:rFonts w:ascii="Arial" w:hAnsi="Arial" w:cs="Arial"/>
          <w:b/>
          <w:bCs/>
          <w:i/>
          <w:iCs/>
        </w:rPr>
      </w:pPr>
    </w:p>
    <w:p w14:paraId="0EF77C54" w14:textId="5E8545D9" w:rsidR="00526F65" w:rsidRPr="00F07B10" w:rsidRDefault="00B3695C" w:rsidP="00B3695C">
      <w:pPr>
        <w:spacing w:after="0" w:line="240" w:lineRule="auto"/>
        <w:rPr>
          <w:rFonts w:ascii="Arial" w:hAnsi="Arial" w:cs="Arial"/>
          <w:i/>
          <w:iCs/>
        </w:rPr>
      </w:pPr>
      <w:r w:rsidRPr="00F07B10">
        <w:rPr>
          <w:rFonts w:ascii="Arial" w:hAnsi="Arial" w:cs="Arial"/>
          <w:b/>
          <w:bCs/>
          <w:i/>
          <w:iCs/>
        </w:rPr>
        <w:t>NCBI GEO RNA-seq datasets used for VIRTUS analyses</w:t>
      </w:r>
      <w:r w:rsidR="00894FB5" w:rsidRPr="00F07B10">
        <w:rPr>
          <w:rFonts w:ascii="Arial" w:hAnsi="Arial" w:cs="Arial"/>
          <w:b/>
          <w:bCs/>
          <w:i/>
          <w:iCs/>
        </w:rPr>
        <w:t>.</w:t>
      </w:r>
    </w:p>
    <w:p w14:paraId="1468BA52" w14:textId="77777777" w:rsidR="00487A16" w:rsidRPr="00F07B10" w:rsidRDefault="00487A16" w:rsidP="00B3695C">
      <w:pPr>
        <w:spacing w:after="0" w:line="240" w:lineRule="auto"/>
        <w:rPr>
          <w:rFonts w:ascii="Arial" w:hAnsi="Arial" w:cs="Arial"/>
        </w:rPr>
      </w:pPr>
    </w:p>
    <w:p w14:paraId="09B416D9" w14:textId="0DABBD72" w:rsidR="00487A16" w:rsidRPr="00F07B10" w:rsidRDefault="00F8020E" w:rsidP="00B3695C">
      <w:pPr>
        <w:spacing w:after="0" w:line="240" w:lineRule="auto"/>
        <w:rPr>
          <w:rFonts w:ascii="Arial" w:hAnsi="Arial" w:cs="Arial"/>
        </w:rPr>
      </w:pPr>
      <w:r w:rsidRPr="00F07B10">
        <w:rPr>
          <w:rFonts w:ascii="Arial" w:hAnsi="Arial" w:cs="Arial"/>
        </w:rPr>
        <w:t>This document contains information on the NCBI GEO data sets used for our VIRTUS analyses. The first sheet, “SLE”, includes information on the six systemic lupus erythematosus (SLE) case/control RNA-seq data sets performed in blood and B cell subsets used for the Epstein-Barr virus (EBV)-SLE VIRTUS analysis. The second sheet, “UC”, shows the same information for the seven ulcerative colitis (UC) case/control RNA-seq data sets examined in the cytomegalovirus (CMV)-UC VIRTUS analysis.</w:t>
      </w:r>
    </w:p>
    <w:p w14:paraId="4BFA509B" w14:textId="77777777" w:rsidR="00526F65" w:rsidRDefault="00526F65" w:rsidP="00B3695C">
      <w:pPr>
        <w:spacing w:after="0" w:line="240" w:lineRule="auto"/>
        <w:rPr>
          <w:rFonts w:ascii="Arial" w:hAnsi="Arial" w:cs="Arial"/>
        </w:rPr>
      </w:pPr>
    </w:p>
    <w:p w14:paraId="68BF2984" w14:textId="77777777" w:rsidR="00F07B10" w:rsidRPr="00F07B10" w:rsidRDefault="00F07B10" w:rsidP="00B3695C">
      <w:pPr>
        <w:spacing w:after="0" w:line="240" w:lineRule="auto"/>
        <w:rPr>
          <w:rFonts w:ascii="Arial" w:hAnsi="Arial" w:cs="Arial"/>
        </w:rPr>
      </w:pPr>
    </w:p>
    <w:p w14:paraId="3FED5C0A" w14:textId="0E991556" w:rsidR="00592A6E" w:rsidRPr="00F07B10" w:rsidRDefault="00526F65" w:rsidP="00370C5E">
      <w:pPr>
        <w:spacing w:after="0" w:line="240" w:lineRule="auto"/>
        <w:rPr>
          <w:rFonts w:ascii="Arial" w:hAnsi="Arial" w:cs="Arial"/>
          <w:b/>
          <w:bCs/>
        </w:rPr>
      </w:pPr>
      <w:r w:rsidRPr="00F07B10">
        <w:rPr>
          <w:rFonts w:ascii="Arial" w:hAnsi="Arial" w:cs="Arial"/>
          <w:b/>
          <w:bCs/>
          <w:u w:val="single"/>
        </w:rPr>
        <w:t xml:space="preserve">Supplementary Data </w:t>
      </w:r>
      <w:r w:rsidR="00894FB5" w:rsidRPr="00F07B10">
        <w:rPr>
          <w:rFonts w:ascii="Arial" w:hAnsi="Arial" w:cs="Arial"/>
          <w:b/>
          <w:bCs/>
          <w:u w:val="single"/>
        </w:rPr>
        <w:t>6</w:t>
      </w:r>
      <w:r w:rsidRPr="00F07B10">
        <w:rPr>
          <w:rFonts w:ascii="Arial" w:hAnsi="Arial" w:cs="Arial"/>
          <w:b/>
          <w:bCs/>
          <w:u w:val="single"/>
        </w:rPr>
        <w:t>:</w:t>
      </w:r>
    </w:p>
    <w:p w14:paraId="3642EDA8" w14:textId="2F1B287F" w:rsidR="007150B4" w:rsidRPr="00F07B10" w:rsidRDefault="007150B4" w:rsidP="00370C5E">
      <w:pPr>
        <w:spacing w:after="0" w:line="240" w:lineRule="auto"/>
        <w:rPr>
          <w:rFonts w:ascii="Arial" w:hAnsi="Arial" w:cs="Arial"/>
          <w:b/>
          <w:bCs/>
        </w:rPr>
      </w:pPr>
    </w:p>
    <w:p w14:paraId="50EA099C" w14:textId="21D440F0" w:rsidR="00487A16" w:rsidRPr="00F07B10" w:rsidRDefault="00370C5E" w:rsidP="00370C5E">
      <w:pPr>
        <w:spacing w:after="0" w:line="240" w:lineRule="auto"/>
        <w:rPr>
          <w:rFonts w:ascii="Arial" w:hAnsi="Arial" w:cs="Arial"/>
          <w:i/>
          <w:iCs/>
        </w:rPr>
      </w:pPr>
      <w:r w:rsidRPr="00F07B10">
        <w:rPr>
          <w:rFonts w:ascii="Arial" w:hAnsi="Arial" w:cs="Arial"/>
          <w:b/>
          <w:bCs/>
          <w:i/>
          <w:iCs/>
        </w:rPr>
        <w:t>GWAS risk loci and RNA-seq data sets used for RELI analyses</w:t>
      </w:r>
      <w:r w:rsidR="00894FB5" w:rsidRPr="00F07B10">
        <w:rPr>
          <w:rFonts w:ascii="Arial" w:hAnsi="Arial" w:cs="Arial"/>
          <w:b/>
          <w:bCs/>
          <w:i/>
          <w:iCs/>
        </w:rPr>
        <w:t>.</w:t>
      </w:r>
    </w:p>
    <w:p w14:paraId="3D7F76AB" w14:textId="77777777" w:rsidR="00487A16" w:rsidRPr="00F07B10" w:rsidRDefault="00487A16" w:rsidP="00370C5E">
      <w:pPr>
        <w:spacing w:after="0" w:line="240" w:lineRule="auto"/>
        <w:rPr>
          <w:rFonts w:ascii="Arial" w:hAnsi="Arial" w:cs="Arial"/>
        </w:rPr>
      </w:pPr>
    </w:p>
    <w:p w14:paraId="64E0902C" w14:textId="2CE8AA00" w:rsidR="00C32F1C" w:rsidRPr="00F07B10" w:rsidRDefault="00894FB5" w:rsidP="00C32F1C">
      <w:pPr>
        <w:spacing w:after="0" w:line="240" w:lineRule="auto"/>
        <w:rPr>
          <w:rFonts w:ascii="Arial" w:hAnsi="Arial" w:cs="Arial"/>
        </w:rPr>
      </w:pPr>
      <w:r w:rsidRPr="00F07B10">
        <w:rPr>
          <w:rFonts w:ascii="Arial" w:hAnsi="Arial" w:cs="Arial"/>
        </w:rPr>
        <w:t>This document contains both the GWAS risk loci downloaded from The GWAS Catalog (“GWAS loci” sheet) and the RNA-seq data sets (“Gene Sets” sheet) that were used as inputs for our RELI analyses. Note that GSE99454, a CMV-infection experiment, used two different cell types (lung fibroblast and retinal pigment epithelium), which were analyzed separately. Also, GWAS loci with "-null" in the name indicate the disease-matched (number of SNPs) list of random independent SNPs sampled from snp151Common. The “UC-exclusive” and “CD-exclusive” variant lists represent the lists of variants where any overlapping GWAS loci between ulcerative colitis (UC) and Crohn's disease (CD) have been removed from each respective list.</w:t>
      </w:r>
    </w:p>
    <w:p w14:paraId="35A4D41F" w14:textId="77777777" w:rsidR="00894FB5" w:rsidRPr="00F07B10" w:rsidRDefault="00894FB5" w:rsidP="00C32F1C">
      <w:pPr>
        <w:spacing w:after="0" w:line="240" w:lineRule="auto"/>
        <w:rPr>
          <w:rFonts w:ascii="Arial" w:hAnsi="Arial" w:cs="Arial"/>
        </w:rPr>
      </w:pPr>
    </w:p>
    <w:p w14:paraId="45136843" w14:textId="77777777" w:rsidR="00C32F1C" w:rsidRPr="00F07B10" w:rsidRDefault="00C32F1C" w:rsidP="00C32F1C">
      <w:pPr>
        <w:spacing w:after="0" w:line="240" w:lineRule="auto"/>
        <w:rPr>
          <w:rFonts w:ascii="Arial" w:hAnsi="Arial" w:cs="Arial"/>
        </w:rPr>
      </w:pPr>
    </w:p>
    <w:p w14:paraId="22D76480" w14:textId="38B404E5" w:rsidR="00592A6E" w:rsidRPr="00F07B10" w:rsidRDefault="00526F65" w:rsidP="00370C5E">
      <w:pPr>
        <w:spacing w:after="0" w:line="240" w:lineRule="auto"/>
        <w:rPr>
          <w:rFonts w:ascii="Arial" w:hAnsi="Arial" w:cs="Arial"/>
        </w:rPr>
      </w:pPr>
      <w:r w:rsidRPr="00F07B10">
        <w:rPr>
          <w:rFonts w:ascii="Arial" w:hAnsi="Arial" w:cs="Arial"/>
          <w:b/>
          <w:bCs/>
          <w:u w:val="single"/>
        </w:rPr>
        <w:t xml:space="preserve">Supplementary Data </w:t>
      </w:r>
      <w:r w:rsidR="00894FB5" w:rsidRPr="00F07B10">
        <w:rPr>
          <w:rFonts w:ascii="Arial" w:hAnsi="Arial" w:cs="Arial"/>
          <w:b/>
          <w:bCs/>
          <w:u w:val="single"/>
        </w:rPr>
        <w:t>7</w:t>
      </w:r>
      <w:r w:rsidRPr="00F07B10">
        <w:rPr>
          <w:rFonts w:ascii="Arial" w:hAnsi="Arial" w:cs="Arial"/>
          <w:b/>
          <w:bCs/>
          <w:u w:val="single"/>
        </w:rPr>
        <w:t>:</w:t>
      </w:r>
    </w:p>
    <w:p w14:paraId="3FD71584" w14:textId="0FF0C58D" w:rsidR="007150B4" w:rsidRPr="00F07B10" w:rsidRDefault="007150B4" w:rsidP="00370C5E">
      <w:pPr>
        <w:spacing w:after="0" w:line="240" w:lineRule="auto"/>
        <w:rPr>
          <w:rFonts w:ascii="Arial" w:hAnsi="Arial" w:cs="Arial"/>
        </w:rPr>
      </w:pPr>
    </w:p>
    <w:p w14:paraId="696CA55B" w14:textId="24071C58" w:rsidR="00370C5E" w:rsidRPr="00F07B10" w:rsidRDefault="00370C5E" w:rsidP="00370C5E">
      <w:pPr>
        <w:spacing w:after="0" w:line="240" w:lineRule="auto"/>
        <w:rPr>
          <w:rFonts w:ascii="Arial" w:hAnsi="Arial" w:cs="Arial"/>
          <w:i/>
          <w:iCs/>
        </w:rPr>
      </w:pPr>
      <w:r w:rsidRPr="00F07B10">
        <w:rPr>
          <w:rFonts w:ascii="Arial" w:hAnsi="Arial" w:cs="Arial"/>
          <w:b/>
          <w:bCs/>
          <w:i/>
          <w:iCs/>
        </w:rPr>
        <w:lastRenderedPageBreak/>
        <w:t>Overview of diseases outside of ICD10 chapter 1 with an infectious component.</w:t>
      </w:r>
    </w:p>
    <w:p w14:paraId="5D15193B" w14:textId="77777777" w:rsidR="00487A16" w:rsidRPr="00F07B10" w:rsidRDefault="00487A16" w:rsidP="00370C5E">
      <w:pPr>
        <w:spacing w:after="0" w:line="240" w:lineRule="auto"/>
        <w:rPr>
          <w:rFonts w:ascii="Arial" w:hAnsi="Arial" w:cs="Arial"/>
        </w:rPr>
      </w:pPr>
    </w:p>
    <w:p w14:paraId="2E0E0F9B" w14:textId="02DB1145" w:rsidR="00370C5E" w:rsidRPr="00F07B10" w:rsidRDefault="00370C5E" w:rsidP="00C32F1C">
      <w:pPr>
        <w:spacing w:after="0" w:line="240" w:lineRule="auto"/>
        <w:rPr>
          <w:rFonts w:ascii="Arial" w:hAnsi="Arial" w:cs="Arial"/>
        </w:rPr>
      </w:pPr>
      <w:r w:rsidRPr="00F07B10">
        <w:rPr>
          <w:rFonts w:ascii="Arial" w:hAnsi="Arial" w:cs="Arial"/>
        </w:rPr>
        <w:t xml:space="preserve">All diseases were tested at the 3-character International Classification of Diseases 10th revision (ICD10) code level. This document contains a review of whether those diseases outside of ICD10 chapter I (“infectious diseases”) are either infectious at the 3-character level, at a sub-code level, or not infectious at all. For example, J11, “influenza, virus not identified” is infectious at the 3-character level, whereas N39, “other disorders of urinary system” is not infectious at the 3-character level but does include the sub-code N39.0, “Urinary tract infection, site not specified”, which is infectious, as well as several other non-infectious </w:t>
      </w:r>
      <w:r w:rsidR="003C63D2" w:rsidRPr="003C63D2">
        <w:rPr>
          <w:rFonts w:ascii="Arial" w:hAnsi="Arial" w:cs="Arial"/>
        </w:rPr>
        <w:t>sub-codes</w:t>
      </w:r>
      <w:r w:rsidRPr="00F07B10">
        <w:rPr>
          <w:rFonts w:ascii="Arial" w:hAnsi="Arial" w:cs="Arial"/>
        </w:rPr>
        <w:t>. We classified each as falling into one of the following groups: "No known infectious agent" (NKIA), where the diagnosis has no infectious component, "Single Known Infectious Agent" (SKIA), which includes codes like J11, where the diagnosis "influenza" is caused by the influenza virus, and finally "Multiple/suspected/non-specific infectious agents" (MSNSIA), for which N39.0 would be an example as numerous infectious agents can cause urinary tract infections, even though N39 at the 3-character level would still be considered NKIA.</w:t>
      </w:r>
      <w:r w:rsidRPr="00F07B10">
        <w:rPr>
          <w:rFonts w:ascii="Arial" w:hAnsi="Arial" w:cs="Arial"/>
        </w:rPr>
        <w:tab/>
      </w:r>
      <w:r w:rsidRPr="00F07B10">
        <w:rPr>
          <w:rFonts w:ascii="Arial" w:hAnsi="Arial" w:cs="Arial"/>
        </w:rPr>
        <w:tab/>
      </w:r>
      <w:r w:rsidRPr="00F07B10">
        <w:rPr>
          <w:rFonts w:ascii="Arial" w:hAnsi="Arial" w:cs="Arial"/>
        </w:rPr>
        <w:tab/>
      </w:r>
      <w:r w:rsidRPr="00F07B10">
        <w:rPr>
          <w:rFonts w:ascii="Arial" w:hAnsi="Arial" w:cs="Arial"/>
        </w:rPr>
        <w:tab/>
      </w:r>
      <w:r w:rsidRPr="00F07B10">
        <w:rPr>
          <w:rFonts w:ascii="Arial" w:hAnsi="Arial" w:cs="Arial"/>
        </w:rPr>
        <w:tab/>
      </w:r>
      <w:r w:rsidRPr="00F07B10">
        <w:rPr>
          <w:rFonts w:ascii="Arial" w:hAnsi="Arial" w:cs="Arial"/>
        </w:rPr>
        <w:tab/>
      </w:r>
      <w:r w:rsidRPr="00F07B10">
        <w:rPr>
          <w:rFonts w:ascii="Arial" w:hAnsi="Arial" w:cs="Arial"/>
        </w:rPr>
        <w:tab/>
      </w:r>
      <w:r w:rsidRPr="00F07B10">
        <w:rPr>
          <w:rFonts w:ascii="Arial" w:hAnsi="Arial" w:cs="Arial"/>
        </w:rPr>
        <w:tab/>
      </w:r>
      <w:r w:rsidRPr="00F07B10">
        <w:rPr>
          <w:rFonts w:ascii="Arial" w:hAnsi="Arial" w:cs="Arial"/>
        </w:rPr>
        <w:tab/>
      </w:r>
      <w:r w:rsidRPr="00F07B10">
        <w:rPr>
          <w:rFonts w:ascii="Arial" w:hAnsi="Arial" w:cs="Arial"/>
        </w:rPr>
        <w:tab/>
      </w:r>
      <w:r w:rsidRPr="00F07B10">
        <w:rPr>
          <w:rFonts w:ascii="Arial" w:hAnsi="Arial" w:cs="Arial"/>
        </w:rPr>
        <w:tab/>
      </w:r>
      <w:r w:rsidRPr="00F07B10">
        <w:rPr>
          <w:rFonts w:ascii="Arial" w:hAnsi="Arial" w:cs="Arial"/>
        </w:rPr>
        <w:tab/>
      </w:r>
      <w:r w:rsidRPr="00F07B10">
        <w:rPr>
          <w:rFonts w:ascii="Arial" w:hAnsi="Arial" w:cs="Arial"/>
        </w:rPr>
        <w:tab/>
      </w:r>
      <w:r w:rsidRPr="00F07B10">
        <w:rPr>
          <w:rFonts w:ascii="Arial" w:hAnsi="Arial" w:cs="Arial"/>
        </w:rPr>
        <w:tab/>
      </w:r>
    </w:p>
    <w:tbl>
      <w:tblPr>
        <w:tblW w:w="6690" w:type="dxa"/>
        <w:tblLook w:val="04A0" w:firstRow="1" w:lastRow="0" w:firstColumn="1" w:lastColumn="0" w:noHBand="0" w:noVBand="1"/>
      </w:tblPr>
      <w:tblGrid>
        <w:gridCol w:w="1137"/>
        <w:gridCol w:w="5553"/>
      </w:tblGrid>
      <w:tr w:rsidR="00370C5E" w:rsidRPr="00370C5E" w14:paraId="4B3CDEAD" w14:textId="77777777" w:rsidTr="00370C5E">
        <w:trPr>
          <w:trHeight w:val="288"/>
        </w:trPr>
        <w:tc>
          <w:tcPr>
            <w:tcW w:w="6690" w:type="dxa"/>
            <w:gridSpan w:val="2"/>
            <w:tcBorders>
              <w:top w:val="single" w:sz="4" w:space="0" w:color="auto"/>
              <w:left w:val="single" w:sz="4" w:space="0" w:color="auto"/>
              <w:bottom w:val="nil"/>
              <w:right w:val="single" w:sz="4" w:space="0" w:color="000000"/>
            </w:tcBorders>
            <w:shd w:val="clear" w:color="auto" w:fill="auto"/>
            <w:noWrap/>
            <w:vAlign w:val="center"/>
            <w:hideMark/>
          </w:tcPr>
          <w:p w14:paraId="1AFF3264" w14:textId="77777777" w:rsidR="00370C5E" w:rsidRPr="00370C5E" w:rsidRDefault="00370C5E" w:rsidP="00370C5E">
            <w:pPr>
              <w:spacing w:after="0" w:line="240" w:lineRule="auto"/>
              <w:jc w:val="center"/>
              <w:rPr>
                <w:rFonts w:ascii="Arial" w:eastAsia="Times New Roman" w:hAnsi="Arial" w:cs="Arial"/>
                <w:b/>
                <w:bCs/>
                <w:color w:val="000000"/>
                <w:kern w:val="0"/>
                <w14:ligatures w14:val="none"/>
              </w:rPr>
            </w:pPr>
            <w:r w:rsidRPr="00370C5E">
              <w:rPr>
                <w:rFonts w:ascii="Arial" w:eastAsia="Times New Roman" w:hAnsi="Arial" w:cs="Arial"/>
                <w:b/>
                <w:bCs/>
                <w:color w:val="000000"/>
                <w:kern w:val="0"/>
                <w14:ligatures w14:val="none"/>
              </w:rPr>
              <w:t>Legend</w:t>
            </w:r>
          </w:p>
        </w:tc>
      </w:tr>
      <w:tr w:rsidR="00370C5E" w:rsidRPr="00370C5E" w14:paraId="5BB0C9F4" w14:textId="77777777" w:rsidTr="00370C5E">
        <w:trPr>
          <w:trHeight w:val="288"/>
        </w:trPr>
        <w:tc>
          <w:tcPr>
            <w:tcW w:w="1137" w:type="dxa"/>
            <w:tcBorders>
              <w:top w:val="nil"/>
              <w:left w:val="single" w:sz="4" w:space="0" w:color="auto"/>
              <w:bottom w:val="nil"/>
              <w:right w:val="nil"/>
            </w:tcBorders>
            <w:shd w:val="clear" w:color="auto" w:fill="auto"/>
            <w:noWrap/>
            <w:vAlign w:val="bottom"/>
            <w:hideMark/>
          </w:tcPr>
          <w:p w14:paraId="79375D19" w14:textId="77777777" w:rsidR="00370C5E" w:rsidRPr="00370C5E" w:rsidRDefault="00370C5E" w:rsidP="00370C5E">
            <w:pPr>
              <w:spacing w:after="0" w:line="240" w:lineRule="auto"/>
              <w:rPr>
                <w:rFonts w:ascii="Arial" w:eastAsia="Times New Roman" w:hAnsi="Arial" w:cs="Arial"/>
                <w:color w:val="000000"/>
                <w:kern w:val="0"/>
                <w14:ligatures w14:val="none"/>
              </w:rPr>
            </w:pPr>
            <w:r w:rsidRPr="00370C5E">
              <w:rPr>
                <w:rFonts w:ascii="Arial" w:eastAsia="Times New Roman" w:hAnsi="Arial" w:cs="Arial"/>
                <w:color w:val="000000"/>
                <w:kern w:val="0"/>
                <w14:ligatures w14:val="none"/>
              </w:rPr>
              <w:t>SKIA</w:t>
            </w:r>
          </w:p>
        </w:tc>
        <w:tc>
          <w:tcPr>
            <w:tcW w:w="5553" w:type="dxa"/>
            <w:tcBorders>
              <w:top w:val="nil"/>
              <w:left w:val="nil"/>
              <w:bottom w:val="nil"/>
              <w:right w:val="single" w:sz="4" w:space="0" w:color="auto"/>
            </w:tcBorders>
            <w:shd w:val="clear" w:color="auto" w:fill="auto"/>
            <w:noWrap/>
            <w:vAlign w:val="bottom"/>
            <w:hideMark/>
          </w:tcPr>
          <w:p w14:paraId="5BFB8882" w14:textId="77777777" w:rsidR="00370C5E" w:rsidRPr="00370C5E" w:rsidRDefault="00370C5E" w:rsidP="00370C5E">
            <w:pPr>
              <w:spacing w:after="0" w:line="240" w:lineRule="auto"/>
              <w:rPr>
                <w:rFonts w:ascii="Arial" w:eastAsia="Times New Roman" w:hAnsi="Arial" w:cs="Arial"/>
                <w:color w:val="000000"/>
                <w:kern w:val="0"/>
                <w14:ligatures w14:val="none"/>
              </w:rPr>
            </w:pPr>
            <w:r w:rsidRPr="00370C5E">
              <w:rPr>
                <w:rFonts w:ascii="Arial" w:eastAsia="Times New Roman" w:hAnsi="Arial" w:cs="Arial"/>
                <w:color w:val="000000"/>
                <w:kern w:val="0"/>
                <w14:ligatures w14:val="none"/>
              </w:rPr>
              <w:t>Single Known Infectious Agent</w:t>
            </w:r>
          </w:p>
        </w:tc>
      </w:tr>
      <w:tr w:rsidR="00370C5E" w:rsidRPr="00370C5E" w14:paraId="0C9F17D0" w14:textId="77777777" w:rsidTr="00370C5E">
        <w:trPr>
          <w:trHeight w:val="288"/>
        </w:trPr>
        <w:tc>
          <w:tcPr>
            <w:tcW w:w="1137" w:type="dxa"/>
            <w:tcBorders>
              <w:top w:val="nil"/>
              <w:left w:val="single" w:sz="4" w:space="0" w:color="auto"/>
              <w:bottom w:val="nil"/>
              <w:right w:val="nil"/>
            </w:tcBorders>
            <w:shd w:val="clear" w:color="auto" w:fill="auto"/>
            <w:noWrap/>
            <w:vAlign w:val="bottom"/>
            <w:hideMark/>
          </w:tcPr>
          <w:p w14:paraId="2840709B" w14:textId="77777777" w:rsidR="00370C5E" w:rsidRPr="00370C5E" w:rsidRDefault="00370C5E" w:rsidP="00370C5E">
            <w:pPr>
              <w:spacing w:after="0" w:line="240" w:lineRule="auto"/>
              <w:rPr>
                <w:rFonts w:ascii="Arial" w:eastAsia="Times New Roman" w:hAnsi="Arial" w:cs="Arial"/>
                <w:color w:val="000000"/>
                <w:kern w:val="0"/>
                <w14:ligatures w14:val="none"/>
              </w:rPr>
            </w:pPr>
            <w:r w:rsidRPr="00370C5E">
              <w:rPr>
                <w:rFonts w:ascii="Arial" w:eastAsia="Times New Roman" w:hAnsi="Arial" w:cs="Arial"/>
                <w:color w:val="000000"/>
                <w:kern w:val="0"/>
                <w14:ligatures w14:val="none"/>
              </w:rPr>
              <w:t>MSNSIA</w:t>
            </w:r>
          </w:p>
        </w:tc>
        <w:tc>
          <w:tcPr>
            <w:tcW w:w="5553" w:type="dxa"/>
            <w:tcBorders>
              <w:top w:val="nil"/>
              <w:left w:val="nil"/>
              <w:bottom w:val="nil"/>
              <w:right w:val="single" w:sz="4" w:space="0" w:color="auto"/>
            </w:tcBorders>
            <w:shd w:val="clear" w:color="auto" w:fill="auto"/>
            <w:noWrap/>
            <w:vAlign w:val="bottom"/>
            <w:hideMark/>
          </w:tcPr>
          <w:p w14:paraId="4B2CB16A" w14:textId="77777777" w:rsidR="00370C5E" w:rsidRPr="00370C5E" w:rsidRDefault="00370C5E" w:rsidP="00370C5E">
            <w:pPr>
              <w:spacing w:after="0" w:line="240" w:lineRule="auto"/>
              <w:rPr>
                <w:rFonts w:ascii="Arial" w:eastAsia="Times New Roman" w:hAnsi="Arial" w:cs="Arial"/>
                <w:color w:val="000000"/>
                <w:kern w:val="0"/>
                <w14:ligatures w14:val="none"/>
              </w:rPr>
            </w:pPr>
            <w:r w:rsidRPr="00370C5E">
              <w:rPr>
                <w:rFonts w:ascii="Arial" w:eastAsia="Times New Roman" w:hAnsi="Arial" w:cs="Arial"/>
                <w:color w:val="000000"/>
                <w:kern w:val="0"/>
                <w14:ligatures w14:val="none"/>
              </w:rPr>
              <w:t>Multiple/suspected/non-specific infectious agents</w:t>
            </w:r>
          </w:p>
        </w:tc>
      </w:tr>
      <w:tr w:rsidR="00370C5E" w:rsidRPr="00370C5E" w14:paraId="31796979" w14:textId="77777777" w:rsidTr="00370C5E">
        <w:trPr>
          <w:trHeight w:val="288"/>
        </w:trPr>
        <w:tc>
          <w:tcPr>
            <w:tcW w:w="1137" w:type="dxa"/>
            <w:tcBorders>
              <w:top w:val="nil"/>
              <w:left w:val="single" w:sz="4" w:space="0" w:color="auto"/>
              <w:bottom w:val="single" w:sz="4" w:space="0" w:color="auto"/>
              <w:right w:val="nil"/>
            </w:tcBorders>
            <w:shd w:val="clear" w:color="auto" w:fill="auto"/>
            <w:noWrap/>
            <w:vAlign w:val="bottom"/>
            <w:hideMark/>
          </w:tcPr>
          <w:p w14:paraId="4E61340B" w14:textId="77777777" w:rsidR="00370C5E" w:rsidRPr="00370C5E" w:rsidRDefault="00370C5E" w:rsidP="00370C5E">
            <w:pPr>
              <w:spacing w:after="0" w:line="240" w:lineRule="auto"/>
              <w:rPr>
                <w:rFonts w:ascii="Arial" w:eastAsia="Times New Roman" w:hAnsi="Arial" w:cs="Arial"/>
                <w:color w:val="000000"/>
                <w:kern w:val="0"/>
                <w14:ligatures w14:val="none"/>
              </w:rPr>
            </w:pPr>
            <w:r w:rsidRPr="00370C5E">
              <w:rPr>
                <w:rFonts w:ascii="Arial" w:eastAsia="Times New Roman" w:hAnsi="Arial" w:cs="Arial"/>
                <w:color w:val="000000"/>
                <w:kern w:val="0"/>
                <w14:ligatures w14:val="none"/>
              </w:rPr>
              <w:t>NKIA</w:t>
            </w:r>
          </w:p>
        </w:tc>
        <w:tc>
          <w:tcPr>
            <w:tcW w:w="5553" w:type="dxa"/>
            <w:tcBorders>
              <w:top w:val="nil"/>
              <w:left w:val="nil"/>
              <w:bottom w:val="single" w:sz="4" w:space="0" w:color="auto"/>
              <w:right w:val="single" w:sz="4" w:space="0" w:color="auto"/>
            </w:tcBorders>
            <w:shd w:val="clear" w:color="auto" w:fill="auto"/>
            <w:noWrap/>
            <w:vAlign w:val="bottom"/>
            <w:hideMark/>
          </w:tcPr>
          <w:p w14:paraId="02166DA8" w14:textId="77777777" w:rsidR="00370C5E" w:rsidRPr="00370C5E" w:rsidRDefault="00370C5E" w:rsidP="00370C5E">
            <w:pPr>
              <w:spacing w:after="0" w:line="240" w:lineRule="auto"/>
              <w:rPr>
                <w:rFonts w:ascii="Arial" w:eastAsia="Times New Roman" w:hAnsi="Arial" w:cs="Arial"/>
                <w:color w:val="000000"/>
                <w:kern w:val="0"/>
                <w14:ligatures w14:val="none"/>
              </w:rPr>
            </w:pPr>
            <w:r w:rsidRPr="00370C5E">
              <w:rPr>
                <w:rFonts w:ascii="Arial" w:eastAsia="Times New Roman" w:hAnsi="Arial" w:cs="Arial"/>
                <w:color w:val="000000"/>
                <w:kern w:val="0"/>
                <w14:ligatures w14:val="none"/>
              </w:rPr>
              <w:t>No Known infectious agent</w:t>
            </w:r>
          </w:p>
        </w:tc>
      </w:tr>
      <w:tr w:rsidR="00370C5E" w:rsidRPr="00370C5E" w14:paraId="3447980C" w14:textId="77777777" w:rsidTr="00370C5E">
        <w:trPr>
          <w:trHeight w:val="288"/>
        </w:trPr>
        <w:tc>
          <w:tcPr>
            <w:tcW w:w="1137" w:type="dxa"/>
            <w:tcBorders>
              <w:top w:val="nil"/>
              <w:left w:val="nil"/>
              <w:bottom w:val="nil"/>
              <w:right w:val="nil"/>
            </w:tcBorders>
            <w:shd w:val="clear" w:color="auto" w:fill="auto"/>
            <w:noWrap/>
            <w:vAlign w:val="bottom"/>
            <w:hideMark/>
          </w:tcPr>
          <w:p w14:paraId="19D01D94" w14:textId="77777777" w:rsidR="00370C5E" w:rsidRPr="00370C5E" w:rsidRDefault="00370C5E" w:rsidP="00370C5E">
            <w:pPr>
              <w:spacing w:after="0" w:line="240" w:lineRule="auto"/>
              <w:rPr>
                <w:rFonts w:ascii="Arial" w:eastAsia="Times New Roman" w:hAnsi="Arial" w:cs="Arial"/>
                <w:color w:val="000000"/>
                <w:kern w:val="0"/>
                <w14:ligatures w14:val="none"/>
              </w:rPr>
            </w:pPr>
          </w:p>
        </w:tc>
        <w:tc>
          <w:tcPr>
            <w:tcW w:w="5553" w:type="dxa"/>
            <w:tcBorders>
              <w:top w:val="nil"/>
              <w:left w:val="nil"/>
              <w:bottom w:val="nil"/>
              <w:right w:val="nil"/>
            </w:tcBorders>
            <w:shd w:val="clear" w:color="auto" w:fill="auto"/>
            <w:noWrap/>
            <w:vAlign w:val="bottom"/>
            <w:hideMark/>
          </w:tcPr>
          <w:p w14:paraId="600B8058" w14:textId="77777777" w:rsidR="00370C5E" w:rsidRPr="00370C5E" w:rsidRDefault="00370C5E" w:rsidP="00370C5E">
            <w:pPr>
              <w:spacing w:after="0" w:line="240" w:lineRule="auto"/>
              <w:rPr>
                <w:rFonts w:ascii="Arial" w:eastAsia="Times New Roman" w:hAnsi="Arial" w:cs="Arial"/>
                <w:kern w:val="0"/>
                <w14:ligatures w14:val="none"/>
              </w:rPr>
            </w:pPr>
          </w:p>
        </w:tc>
      </w:tr>
      <w:tr w:rsidR="00370C5E" w:rsidRPr="00370C5E" w14:paraId="426235F1" w14:textId="77777777" w:rsidTr="00370C5E">
        <w:trPr>
          <w:trHeight w:val="288"/>
        </w:trPr>
        <w:tc>
          <w:tcPr>
            <w:tcW w:w="669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0BEDF1CE" w14:textId="77777777" w:rsidR="00370C5E" w:rsidRPr="00370C5E" w:rsidRDefault="00370C5E" w:rsidP="00370C5E">
            <w:pPr>
              <w:spacing w:after="0" w:line="240" w:lineRule="auto"/>
              <w:jc w:val="center"/>
              <w:rPr>
                <w:rFonts w:ascii="Arial" w:eastAsia="Times New Roman" w:hAnsi="Arial" w:cs="Arial"/>
                <w:b/>
                <w:bCs/>
                <w:color w:val="000000"/>
                <w:kern w:val="0"/>
                <w14:ligatures w14:val="none"/>
              </w:rPr>
            </w:pPr>
            <w:r w:rsidRPr="00370C5E">
              <w:rPr>
                <w:rFonts w:ascii="Arial" w:eastAsia="Times New Roman" w:hAnsi="Arial" w:cs="Arial"/>
                <w:b/>
                <w:bCs/>
                <w:color w:val="000000"/>
                <w:kern w:val="0"/>
                <w14:ligatures w14:val="none"/>
              </w:rPr>
              <w:t>Final 3-Char Counts</w:t>
            </w:r>
          </w:p>
        </w:tc>
      </w:tr>
      <w:tr w:rsidR="00370C5E" w:rsidRPr="00370C5E" w14:paraId="3D84F566" w14:textId="77777777" w:rsidTr="00370C5E">
        <w:trPr>
          <w:trHeight w:val="288"/>
        </w:trPr>
        <w:tc>
          <w:tcPr>
            <w:tcW w:w="1137" w:type="dxa"/>
            <w:tcBorders>
              <w:top w:val="nil"/>
              <w:left w:val="single" w:sz="4" w:space="0" w:color="auto"/>
              <w:bottom w:val="nil"/>
              <w:right w:val="nil"/>
            </w:tcBorders>
            <w:shd w:val="clear" w:color="auto" w:fill="auto"/>
            <w:noWrap/>
            <w:vAlign w:val="bottom"/>
            <w:hideMark/>
          </w:tcPr>
          <w:p w14:paraId="4CBC2AAD" w14:textId="77777777" w:rsidR="00370C5E" w:rsidRPr="00370C5E" w:rsidRDefault="00370C5E" w:rsidP="00370C5E">
            <w:pPr>
              <w:spacing w:after="0" w:line="240" w:lineRule="auto"/>
              <w:rPr>
                <w:rFonts w:ascii="Arial" w:eastAsia="Times New Roman" w:hAnsi="Arial" w:cs="Arial"/>
                <w:color w:val="000000"/>
                <w:kern w:val="0"/>
                <w14:ligatures w14:val="none"/>
              </w:rPr>
            </w:pPr>
            <w:r w:rsidRPr="00370C5E">
              <w:rPr>
                <w:rFonts w:ascii="Arial" w:eastAsia="Times New Roman" w:hAnsi="Arial" w:cs="Arial"/>
                <w:color w:val="000000"/>
                <w:kern w:val="0"/>
                <w14:ligatures w14:val="none"/>
              </w:rPr>
              <w:t>SKIA</w:t>
            </w:r>
          </w:p>
        </w:tc>
        <w:tc>
          <w:tcPr>
            <w:tcW w:w="5553" w:type="dxa"/>
            <w:tcBorders>
              <w:top w:val="nil"/>
              <w:left w:val="nil"/>
              <w:bottom w:val="nil"/>
              <w:right w:val="single" w:sz="4" w:space="0" w:color="auto"/>
            </w:tcBorders>
            <w:shd w:val="clear" w:color="auto" w:fill="auto"/>
            <w:noWrap/>
            <w:vAlign w:val="bottom"/>
            <w:hideMark/>
          </w:tcPr>
          <w:p w14:paraId="69BE1DAA" w14:textId="77777777" w:rsidR="00370C5E" w:rsidRPr="00370C5E" w:rsidRDefault="00370C5E" w:rsidP="00370C5E">
            <w:pPr>
              <w:spacing w:after="0" w:line="240" w:lineRule="auto"/>
              <w:jc w:val="right"/>
              <w:rPr>
                <w:rFonts w:ascii="Arial" w:eastAsia="Times New Roman" w:hAnsi="Arial" w:cs="Arial"/>
                <w:color w:val="000000"/>
                <w:kern w:val="0"/>
                <w14:ligatures w14:val="none"/>
              </w:rPr>
            </w:pPr>
            <w:r w:rsidRPr="00370C5E">
              <w:rPr>
                <w:rFonts w:ascii="Arial" w:eastAsia="Times New Roman" w:hAnsi="Arial" w:cs="Arial"/>
                <w:color w:val="000000"/>
                <w:kern w:val="0"/>
                <w14:ligatures w14:val="none"/>
              </w:rPr>
              <w:t>1</w:t>
            </w:r>
          </w:p>
        </w:tc>
      </w:tr>
      <w:tr w:rsidR="00370C5E" w:rsidRPr="00370C5E" w14:paraId="17E3C5B5" w14:textId="77777777" w:rsidTr="00370C5E">
        <w:trPr>
          <w:trHeight w:val="288"/>
        </w:trPr>
        <w:tc>
          <w:tcPr>
            <w:tcW w:w="1137" w:type="dxa"/>
            <w:tcBorders>
              <w:top w:val="nil"/>
              <w:left w:val="single" w:sz="4" w:space="0" w:color="auto"/>
              <w:bottom w:val="nil"/>
              <w:right w:val="nil"/>
            </w:tcBorders>
            <w:shd w:val="clear" w:color="auto" w:fill="auto"/>
            <w:noWrap/>
            <w:vAlign w:val="bottom"/>
            <w:hideMark/>
          </w:tcPr>
          <w:p w14:paraId="30C72073" w14:textId="77777777" w:rsidR="00370C5E" w:rsidRPr="00370C5E" w:rsidRDefault="00370C5E" w:rsidP="00370C5E">
            <w:pPr>
              <w:spacing w:after="0" w:line="240" w:lineRule="auto"/>
              <w:rPr>
                <w:rFonts w:ascii="Arial" w:eastAsia="Times New Roman" w:hAnsi="Arial" w:cs="Arial"/>
                <w:color w:val="000000"/>
                <w:kern w:val="0"/>
                <w14:ligatures w14:val="none"/>
              </w:rPr>
            </w:pPr>
            <w:r w:rsidRPr="00370C5E">
              <w:rPr>
                <w:rFonts w:ascii="Arial" w:eastAsia="Times New Roman" w:hAnsi="Arial" w:cs="Arial"/>
                <w:color w:val="000000"/>
                <w:kern w:val="0"/>
                <w14:ligatures w14:val="none"/>
              </w:rPr>
              <w:t>MSNSIA</w:t>
            </w:r>
          </w:p>
        </w:tc>
        <w:tc>
          <w:tcPr>
            <w:tcW w:w="5553" w:type="dxa"/>
            <w:tcBorders>
              <w:top w:val="nil"/>
              <w:left w:val="nil"/>
              <w:bottom w:val="nil"/>
              <w:right w:val="single" w:sz="4" w:space="0" w:color="auto"/>
            </w:tcBorders>
            <w:shd w:val="clear" w:color="auto" w:fill="auto"/>
            <w:noWrap/>
            <w:vAlign w:val="bottom"/>
            <w:hideMark/>
          </w:tcPr>
          <w:p w14:paraId="62349FCF" w14:textId="77777777" w:rsidR="00370C5E" w:rsidRPr="00370C5E" w:rsidRDefault="00370C5E" w:rsidP="00370C5E">
            <w:pPr>
              <w:spacing w:after="0" w:line="240" w:lineRule="auto"/>
              <w:jc w:val="right"/>
              <w:rPr>
                <w:rFonts w:ascii="Arial" w:eastAsia="Times New Roman" w:hAnsi="Arial" w:cs="Arial"/>
                <w:color w:val="000000"/>
                <w:kern w:val="0"/>
                <w14:ligatures w14:val="none"/>
              </w:rPr>
            </w:pPr>
            <w:r w:rsidRPr="00370C5E">
              <w:rPr>
                <w:rFonts w:ascii="Arial" w:eastAsia="Times New Roman" w:hAnsi="Arial" w:cs="Arial"/>
                <w:color w:val="000000"/>
                <w:kern w:val="0"/>
                <w14:ligatures w14:val="none"/>
              </w:rPr>
              <w:t>26</w:t>
            </w:r>
          </w:p>
        </w:tc>
      </w:tr>
      <w:tr w:rsidR="00370C5E" w:rsidRPr="00370C5E" w14:paraId="4C5A5650" w14:textId="77777777" w:rsidTr="00370C5E">
        <w:trPr>
          <w:trHeight w:val="288"/>
        </w:trPr>
        <w:tc>
          <w:tcPr>
            <w:tcW w:w="1137" w:type="dxa"/>
            <w:tcBorders>
              <w:top w:val="nil"/>
              <w:left w:val="single" w:sz="4" w:space="0" w:color="auto"/>
              <w:bottom w:val="single" w:sz="4" w:space="0" w:color="auto"/>
              <w:right w:val="nil"/>
            </w:tcBorders>
            <w:shd w:val="clear" w:color="auto" w:fill="auto"/>
            <w:noWrap/>
            <w:vAlign w:val="bottom"/>
            <w:hideMark/>
          </w:tcPr>
          <w:p w14:paraId="18246DC0" w14:textId="77777777" w:rsidR="00370C5E" w:rsidRPr="00370C5E" w:rsidRDefault="00370C5E" w:rsidP="00370C5E">
            <w:pPr>
              <w:spacing w:after="0" w:line="240" w:lineRule="auto"/>
              <w:rPr>
                <w:rFonts w:ascii="Arial" w:eastAsia="Times New Roman" w:hAnsi="Arial" w:cs="Arial"/>
                <w:color w:val="000000"/>
                <w:kern w:val="0"/>
                <w14:ligatures w14:val="none"/>
              </w:rPr>
            </w:pPr>
            <w:r w:rsidRPr="00370C5E">
              <w:rPr>
                <w:rFonts w:ascii="Arial" w:eastAsia="Times New Roman" w:hAnsi="Arial" w:cs="Arial"/>
                <w:color w:val="000000"/>
                <w:kern w:val="0"/>
                <w14:ligatures w14:val="none"/>
              </w:rPr>
              <w:t>NKIA</w:t>
            </w:r>
          </w:p>
        </w:tc>
        <w:tc>
          <w:tcPr>
            <w:tcW w:w="5553" w:type="dxa"/>
            <w:tcBorders>
              <w:top w:val="nil"/>
              <w:left w:val="nil"/>
              <w:bottom w:val="single" w:sz="4" w:space="0" w:color="auto"/>
              <w:right w:val="single" w:sz="4" w:space="0" w:color="auto"/>
            </w:tcBorders>
            <w:shd w:val="clear" w:color="auto" w:fill="auto"/>
            <w:noWrap/>
            <w:vAlign w:val="bottom"/>
            <w:hideMark/>
          </w:tcPr>
          <w:p w14:paraId="48930CAE" w14:textId="77777777" w:rsidR="00370C5E" w:rsidRPr="00370C5E" w:rsidRDefault="00370C5E" w:rsidP="00370C5E">
            <w:pPr>
              <w:spacing w:after="0" w:line="240" w:lineRule="auto"/>
              <w:jc w:val="right"/>
              <w:rPr>
                <w:rFonts w:ascii="Arial" w:eastAsia="Times New Roman" w:hAnsi="Arial" w:cs="Arial"/>
                <w:color w:val="000000"/>
                <w:kern w:val="0"/>
                <w14:ligatures w14:val="none"/>
              </w:rPr>
            </w:pPr>
            <w:r w:rsidRPr="00370C5E">
              <w:rPr>
                <w:rFonts w:ascii="Arial" w:eastAsia="Times New Roman" w:hAnsi="Arial" w:cs="Arial"/>
                <w:color w:val="000000"/>
                <w:kern w:val="0"/>
                <w14:ligatures w14:val="none"/>
              </w:rPr>
              <w:t>399</w:t>
            </w:r>
          </w:p>
        </w:tc>
      </w:tr>
    </w:tbl>
    <w:p w14:paraId="2EF40940" w14:textId="77777777" w:rsidR="00C32F1C" w:rsidRPr="00F07B10" w:rsidRDefault="00C32F1C" w:rsidP="00C25D23">
      <w:pPr>
        <w:spacing w:after="0" w:line="240" w:lineRule="auto"/>
        <w:rPr>
          <w:rFonts w:ascii="Arial" w:hAnsi="Arial" w:cs="Arial"/>
        </w:rPr>
      </w:pPr>
    </w:p>
    <w:p w14:paraId="04323992" w14:textId="77777777" w:rsidR="00C32F1C" w:rsidRPr="00F07B10" w:rsidRDefault="00C32F1C" w:rsidP="00C25D23">
      <w:pPr>
        <w:spacing w:after="0" w:line="240" w:lineRule="auto"/>
        <w:rPr>
          <w:rFonts w:ascii="Arial" w:hAnsi="Arial" w:cs="Arial"/>
        </w:rPr>
      </w:pPr>
    </w:p>
    <w:p w14:paraId="322EEF2B" w14:textId="63484E4D" w:rsidR="00592A6E" w:rsidRPr="00F07B10" w:rsidRDefault="00526F65" w:rsidP="00C25D23">
      <w:pPr>
        <w:spacing w:after="0" w:line="240" w:lineRule="auto"/>
        <w:rPr>
          <w:rFonts w:ascii="Arial" w:hAnsi="Arial" w:cs="Arial"/>
        </w:rPr>
      </w:pPr>
      <w:r w:rsidRPr="00F07B10">
        <w:rPr>
          <w:rFonts w:ascii="Arial" w:hAnsi="Arial" w:cs="Arial"/>
          <w:b/>
          <w:bCs/>
          <w:u w:val="single"/>
        </w:rPr>
        <w:t xml:space="preserve">Supplementary Data </w:t>
      </w:r>
      <w:r w:rsidR="00894FB5" w:rsidRPr="00F07B10">
        <w:rPr>
          <w:rFonts w:ascii="Arial" w:hAnsi="Arial" w:cs="Arial"/>
          <w:b/>
          <w:bCs/>
          <w:u w:val="single"/>
        </w:rPr>
        <w:t>8</w:t>
      </w:r>
      <w:r w:rsidR="00C25D23" w:rsidRPr="00F07B10">
        <w:rPr>
          <w:rFonts w:ascii="Arial" w:hAnsi="Arial" w:cs="Arial"/>
          <w:b/>
          <w:bCs/>
          <w:u w:val="single"/>
        </w:rPr>
        <w:t>:</w:t>
      </w:r>
    </w:p>
    <w:p w14:paraId="5E5BABC8" w14:textId="3C3757C5" w:rsidR="007150B4" w:rsidRPr="00F07B10" w:rsidRDefault="007150B4" w:rsidP="00C25D23">
      <w:pPr>
        <w:spacing w:after="0" w:line="240" w:lineRule="auto"/>
        <w:rPr>
          <w:rFonts w:ascii="Arial" w:hAnsi="Arial" w:cs="Arial"/>
        </w:rPr>
      </w:pPr>
    </w:p>
    <w:p w14:paraId="7A06741C" w14:textId="2F29BF23" w:rsidR="00487A16" w:rsidRDefault="000908C1" w:rsidP="00C25D23">
      <w:pPr>
        <w:spacing w:after="0" w:line="240" w:lineRule="auto"/>
        <w:rPr>
          <w:rFonts w:ascii="Arial" w:hAnsi="Arial" w:cs="Arial"/>
          <w:b/>
          <w:bCs/>
          <w:i/>
          <w:iCs/>
        </w:rPr>
      </w:pPr>
      <w:r w:rsidRPr="000908C1">
        <w:rPr>
          <w:rFonts w:ascii="Arial" w:hAnsi="Arial" w:cs="Arial"/>
          <w:b/>
          <w:bCs/>
          <w:i/>
          <w:iCs/>
        </w:rPr>
        <w:t>Full pathogen-disease (ICD10) results across both the UK Biobank and TriNetX.</w:t>
      </w:r>
    </w:p>
    <w:p w14:paraId="78CD0240" w14:textId="77777777" w:rsidR="000908C1" w:rsidRPr="00F07B10" w:rsidRDefault="000908C1" w:rsidP="00C25D23">
      <w:pPr>
        <w:spacing w:after="0" w:line="240" w:lineRule="auto"/>
        <w:rPr>
          <w:rFonts w:ascii="Arial" w:hAnsi="Arial" w:cs="Arial"/>
          <w:i/>
          <w:iCs/>
        </w:rPr>
      </w:pPr>
    </w:p>
    <w:p w14:paraId="61055B4D" w14:textId="77777777" w:rsidR="00487A16" w:rsidRPr="00F07B10" w:rsidRDefault="00C25D23" w:rsidP="00C25D23">
      <w:pPr>
        <w:spacing w:after="0" w:line="240" w:lineRule="auto"/>
        <w:rPr>
          <w:rFonts w:ascii="Arial" w:hAnsi="Arial" w:cs="Arial"/>
        </w:rPr>
      </w:pPr>
      <w:r w:rsidRPr="00F07B10">
        <w:rPr>
          <w:rFonts w:ascii="Arial" w:hAnsi="Arial" w:cs="Arial"/>
        </w:rPr>
        <w:t>This document contains the results from our International Classification of Diseases 10th revision (ICD10) analysis with association test results for all 8,616 pathogen-disease pair tests.</w:t>
      </w:r>
    </w:p>
    <w:p w14:paraId="258C718A" w14:textId="77777777" w:rsidR="00487A16" w:rsidRPr="00F07B10" w:rsidRDefault="00487A16" w:rsidP="00C32F1C">
      <w:pPr>
        <w:spacing w:after="0" w:line="240" w:lineRule="auto"/>
        <w:rPr>
          <w:rFonts w:ascii="Arial" w:hAnsi="Arial" w:cs="Arial"/>
        </w:rPr>
      </w:pPr>
    </w:p>
    <w:p w14:paraId="17EC8970" w14:textId="77777777" w:rsidR="00487A16" w:rsidRPr="00F07B10" w:rsidRDefault="00487A16" w:rsidP="00B3695C">
      <w:pPr>
        <w:spacing w:after="0" w:line="240" w:lineRule="auto"/>
        <w:rPr>
          <w:rFonts w:ascii="Arial" w:hAnsi="Arial" w:cs="Arial"/>
        </w:rPr>
      </w:pPr>
    </w:p>
    <w:p w14:paraId="29EBE4EF" w14:textId="1C680BF5" w:rsidR="00592A6E" w:rsidRPr="00F07B10" w:rsidRDefault="00526F65" w:rsidP="00B3695C">
      <w:pPr>
        <w:spacing w:after="0" w:line="240" w:lineRule="auto"/>
        <w:rPr>
          <w:rFonts w:ascii="Arial" w:hAnsi="Arial" w:cs="Arial"/>
        </w:rPr>
      </w:pPr>
      <w:r w:rsidRPr="00F07B10">
        <w:rPr>
          <w:rFonts w:ascii="Arial" w:hAnsi="Arial" w:cs="Arial"/>
          <w:b/>
          <w:bCs/>
          <w:u w:val="single"/>
        </w:rPr>
        <w:t xml:space="preserve">Supplementary Data </w:t>
      </w:r>
      <w:r w:rsidR="00894FB5" w:rsidRPr="00F07B10">
        <w:rPr>
          <w:rFonts w:ascii="Arial" w:hAnsi="Arial" w:cs="Arial"/>
          <w:b/>
          <w:bCs/>
          <w:u w:val="single"/>
        </w:rPr>
        <w:t>9</w:t>
      </w:r>
      <w:r w:rsidRPr="00F07B10">
        <w:rPr>
          <w:rFonts w:ascii="Arial" w:hAnsi="Arial" w:cs="Arial"/>
          <w:b/>
          <w:bCs/>
          <w:u w:val="single"/>
        </w:rPr>
        <w:t>:</w:t>
      </w:r>
    </w:p>
    <w:p w14:paraId="4EBB8221" w14:textId="4D9A0CDA" w:rsidR="007150B4" w:rsidRPr="00F07B10" w:rsidRDefault="007150B4" w:rsidP="00B3695C">
      <w:pPr>
        <w:spacing w:after="0" w:line="240" w:lineRule="auto"/>
        <w:rPr>
          <w:rFonts w:ascii="Arial" w:hAnsi="Arial" w:cs="Arial"/>
        </w:rPr>
      </w:pPr>
    </w:p>
    <w:p w14:paraId="34CD0333" w14:textId="2CC9A494" w:rsidR="00526F65" w:rsidRPr="00F07B10" w:rsidRDefault="007150B4" w:rsidP="00B3695C">
      <w:pPr>
        <w:spacing w:after="0" w:line="240" w:lineRule="auto"/>
        <w:rPr>
          <w:rFonts w:ascii="Arial" w:hAnsi="Arial" w:cs="Arial"/>
          <w:i/>
          <w:iCs/>
        </w:rPr>
      </w:pPr>
      <w:r w:rsidRPr="00F07B10">
        <w:rPr>
          <w:rFonts w:ascii="Arial" w:hAnsi="Arial" w:cs="Arial"/>
          <w:b/>
          <w:bCs/>
          <w:i/>
          <w:iCs/>
        </w:rPr>
        <w:t>Results of VIRTUS analysis of SLE and UC case/control cohorts.</w:t>
      </w:r>
    </w:p>
    <w:p w14:paraId="68613A0B" w14:textId="77777777" w:rsidR="00487A16" w:rsidRPr="00F07B10" w:rsidRDefault="00487A16" w:rsidP="007150B4">
      <w:pPr>
        <w:spacing w:after="0" w:line="240" w:lineRule="auto"/>
        <w:rPr>
          <w:rFonts w:ascii="Arial" w:hAnsi="Arial" w:cs="Arial"/>
        </w:rPr>
      </w:pPr>
    </w:p>
    <w:p w14:paraId="19BE122E" w14:textId="02B451AE" w:rsidR="00487A16" w:rsidRPr="00F07B10" w:rsidRDefault="00894FB5" w:rsidP="00F90E91">
      <w:pPr>
        <w:spacing w:after="0" w:line="240" w:lineRule="auto"/>
        <w:rPr>
          <w:rFonts w:ascii="Arial" w:hAnsi="Arial" w:cs="Arial"/>
        </w:rPr>
      </w:pPr>
      <w:r w:rsidRPr="00F07B10">
        <w:rPr>
          <w:rFonts w:ascii="Arial" w:hAnsi="Arial" w:cs="Arial"/>
        </w:rPr>
        <w:t xml:space="preserve">This document contains the VIRTUS analysis results for systemic lupus erythematosus (SLE) and ulcerative colitis (UC). The normalized hit rate (NHR) normalizes the pathogen read counts by the number of human reads in the sample, allowing for the comparison of multiple samples in the same study and samples across studies. A cohort of 378 SLE cases and 74 controls was assembled from 6 separate publicly available </w:t>
      </w:r>
      <w:r w:rsidRPr="00F07B10">
        <w:rPr>
          <w:rFonts w:ascii="Arial" w:hAnsi="Arial" w:cs="Arial"/>
        </w:rPr>
        <w:lastRenderedPageBreak/>
        <w:t>SLE case/control blood and B cell datasets. We compared the VIRTUS output NHR values between disease cases and controls using a Mann-Whitney test. The same was done for UC, where across a total of 7 case/control studies of intestinal biopsies, a cohort of 669 UC cases and 59 controls was built and run through VIRTUS and the Mann-Whitney test.</w:t>
      </w:r>
    </w:p>
    <w:p w14:paraId="5378E3E4" w14:textId="77777777" w:rsidR="00487A16" w:rsidRDefault="00487A16" w:rsidP="00F90E91">
      <w:pPr>
        <w:spacing w:after="0" w:line="240" w:lineRule="auto"/>
        <w:rPr>
          <w:rFonts w:ascii="Arial" w:hAnsi="Arial" w:cs="Arial"/>
        </w:rPr>
      </w:pPr>
    </w:p>
    <w:p w14:paraId="41F78491" w14:textId="77777777" w:rsidR="00F07B10" w:rsidRPr="00F07B10" w:rsidRDefault="00F07B10" w:rsidP="00F90E91">
      <w:pPr>
        <w:spacing w:after="0" w:line="240" w:lineRule="auto"/>
        <w:rPr>
          <w:rFonts w:ascii="Arial" w:hAnsi="Arial" w:cs="Arial"/>
        </w:rPr>
      </w:pPr>
    </w:p>
    <w:p w14:paraId="5E306441" w14:textId="2297B6BC" w:rsidR="00592A6E" w:rsidRPr="00F07B10" w:rsidRDefault="00526F65" w:rsidP="00B3695C">
      <w:pPr>
        <w:spacing w:after="0" w:line="240" w:lineRule="auto"/>
        <w:rPr>
          <w:rFonts w:ascii="Arial" w:hAnsi="Arial" w:cs="Arial"/>
        </w:rPr>
      </w:pPr>
      <w:r w:rsidRPr="00F07B10">
        <w:rPr>
          <w:rFonts w:ascii="Arial" w:hAnsi="Arial" w:cs="Arial"/>
          <w:b/>
          <w:bCs/>
          <w:u w:val="single"/>
        </w:rPr>
        <w:t xml:space="preserve">Supplementary Data </w:t>
      </w:r>
      <w:r w:rsidR="00894FB5" w:rsidRPr="00F07B10">
        <w:rPr>
          <w:rFonts w:ascii="Arial" w:hAnsi="Arial" w:cs="Arial"/>
          <w:b/>
          <w:bCs/>
          <w:u w:val="single"/>
        </w:rPr>
        <w:t>10</w:t>
      </w:r>
      <w:r w:rsidRPr="00F07B10">
        <w:rPr>
          <w:rFonts w:ascii="Arial" w:hAnsi="Arial" w:cs="Arial"/>
          <w:b/>
          <w:bCs/>
          <w:u w:val="single"/>
        </w:rPr>
        <w:t>:</w:t>
      </w:r>
    </w:p>
    <w:p w14:paraId="55B5F1C5" w14:textId="59BA6137" w:rsidR="007150B4" w:rsidRPr="00F07B10" w:rsidRDefault="007150B4" w:rsidP="00B3695C">
      <w:pPr>
        <w:spacing w:after="0" w:line="240" w:lineRule="auto"/>
        <w:rPr>
          <w:rFonts w:ascii="Arial" w:hAnsi="Arial" w:cs="Arial"/>
        </w:rPr>
      </w:pPr>
    </w:p>
    <w:p w14:paraId="2D883BAD" w14:textId="77777777" w:rsidR="00487A16" w:rsidRPr="00F07B10" w:rsidRDefault="007150B4" w:rsidP="00B3695C">
      <w:pPr>
        <w:spacing w:after="0" w:line="240" w:lineRule="auto"/>
        <w:rPr>
          <w:rFonts w:ascii="Arial" w:hAnsi="Arial" w:cs="Arial"/>
          <w:i/>
          <w:iCs/>
        </w:rPr>
      </w:pPr>
      <w:r w:rsidRPr="00F07B10">
        <w:rPr>
          <w:rFonts w:ascii="Arial" w:hAnsi="Arial" w:cs="Arial"/>
          <w:b/>
          <w:bCs/>
          <w:i/>
          <w:iCs/>
        </w:rPr>
        <w:t>RELI Results for EBV-SLE and CMV-UC</w:t>
      </w:r>
    </w:p>
    <w:p w14:paraId="5E66208E" w14:textId="77777777" w:rsidR="00487A16" w:rsidRPr="00F07B10" w:rsidRDefault="00487A16" w:rsidP="007150B4">
      <w:pPr>
        <w:spacing w:after="0" w:line="240" w:lineRule="auto"/>
        <w:rPr>
          <w:rFonts w:ascii="Arial" w:hAnsi="Arial" w:cs="Arial"/>
        </w:rPr>
      </w:pPr>
    </w:p>
    <w:p w14:paraId="6E76FEE4" w14:textId="77777777" w:rsidR="00487A16" w:rsidRPr="00F07B10" w:rsidRDefault="007150B4" w:rsidP="007150B4">
      <w:pPr>
        <w:spacing w:after="0" w:line="240" w:lineRule="auto"/>
        <w:rPr>
          <w:rFonts w:ascii="Arial" w:hAnsi="Arial" w:cs="Arial"/>
        </w:rPr>
      </w:pPr>
      <w:r w:rsidRPr="00F07B10">
        <w:rPr>
          <w:rFonts w:ascii="Arial" w:hAnsi="Arial" w:cs="Arial"/>
        </w:rPr>
        <w:t>This document contains all RELI results using differentially expressed genes (DEGs) upon infection with either EBV or CMV and a random sample, containing the same number of genes as in the respective DEGs set, of genes whose expression remained unaltered upon infection for all datasets tested (unchanged). For a RELI result to be significant the “</w:t>
      </w:r>
      <w:proofErr w:type="spellStart"/>
      <w:r w:rsidRPr="00F07B10">
        <w:rPr>
          <w:rFonts w:ascii="Arial" w:hAnsi="Arial" w:cs="Arial"/>
        </w:rPr>
        <w:t>Corrected_P_val</w:t>
      </w:r>
      <w:proofErr w:type="spellEnd"/>
      <w:r w:rsidRPr="00F07B10">
        <w:rPr>
          <w:rFonts w:ascii="Arial" w:hAnsi="Arial" w:cs="Arial"/>
        </w:rPr>
        <w:t>” must be less than 0.01 and the “Enrichment” must be greater than 2. EBV-infection-altered gene sets were tested against SLE GWAS loci from the GWAS catalog (“EBV_SLE” sheet) as well as a set of null loci made by sampling the same number of SNPs as seen in the SLE GWAS loci randomly from snp151Common (“</w:t>
      </w:r>
      <w:proofErr w:type="spellStart"/>
      <w:r w:rsidRPr="00F07B10">
        <w:rPr>
          <w:rFonts w:ascii="Arial" w:hAnsi="Arial" w:cs="Arial"/>
        </w:rPr>
        <w:t>EBV_SLE_null</w:t>
      </w:r>
      <w:proofErr w:type="spellEnd"/>
      <w:r w:rsidRPr="00F07B10">
        <w:rPr>
          <w:rFonts w:ascii="Arial" w:hAnsi="Arial" w:cs="Arial"/>
        </w:rPr>
        <w:t>” sheet). In the same manner, CMV-infection altered gene sets and the respective unchanged gene sets were run against ulcerative colitis (UC) GWAS loci, Crohn’s disease (CD) GWAS loci, and Inflammatory bowel disease (IBD) GWAS loci, all with a corresponding analysis of disease-specific GWAS risk loci number matching null SNPs.</w:t>
      </w:r>
    </w:p>
    <w:p w14:paraId="661D6EDB" w14:textId="77777777" w:rsidR="00487A16" w:rsidRPr="00F07B10" w:rsidRDefault="00487A16" w:rsidP="007150B4">
      <w:pPr>
        <w:spacing w:after="0" w:line="240" w:lineRule="auto"/>
        <w:rPr>
          <w:rFonts w:ascii="Arial" w:hAnsi="Arial" w:cs="Arial"/>
        </w:rPr>
      </w:pPr>
    </w:p>
    <w:p w14:paraId="1232B57B" w14:textId="77777777" w:rsidR="00487A16" w:rsidRPr="00F07B10" w:rsidRDefault="00487A16" w:rsidP="00F90E91">
      <w:pPr>
        <w:spacing w:after="0" w:line="240" w:lineRule="auto"/>
        <w:rPr>
          <w:rFonts w:ascii="Arial" w:hAnsi="Arial" w:cs="Arial"/>
        </w:rPr>
      </w:pPr>
    </w:p>
    <w:sectPr w:rsidR="00487A16" w:rsidRPr="00F07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9BF"/>
    <w:rsid w:val="00001DB3"/>
    <w:rsid w:val="000908C1"/>
    <w:rsid w:val="001A29BF"/>
    <w:rsid w:val="00203862"/>
    <w:rsid w:val="00370C5E"/>
    <w:rsid w:val="003C63D2"/>
    <w:rsid w:val="003E6FC1"/>
    <w:rsid w:val="00487A16"/>
    <w:rsid w:val="00526F65"/>
    <w:rsid w:val="00592A6E"/>
    <w:rsid w:val="00616000"/>
    <w:rsid w:val="007150B4"/>
    <w:rsid w:val="007D2A7C"/>
    <w:rsid w:val="007F68A6"/>
    <w:rsid w:val="00894FB5"/>
    <w:rsid w:val="00922BE8"/>
    <w:rsid w:val="00950563"/>
    <w:rsid w:val="00B3695C"/>
    <w:rsid w:val="00C25D23"/>
    <w:rsid w:val="00C32F1C"/>
    <w:rsid w:val="00DF170E"/>
    <w:rsid w:val="00EE672D"/>
    <w:rsid w:val="00F07B10"/>
    <w:rsid w:val="00F8020E"/>
    <w:rsid w:val="00F90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8CBA1"/>
  <w15:chartTrackingRefBased/>
  <w15:docId w15:val="{723B1B4E-8DAB-46D2-96B2-52B181454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9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29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29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29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9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9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9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9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9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9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29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29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29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9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9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9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9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9BF"/>
    <w:rPr>
      <w:rFonts w:eastAsiaTheme="majorEastAsia" w:cstheme="majorBidi"/>
      <w:color w:val="272727" w:themeColor="text1" w:themeTint="D8"/>
    </w:rPr>
  </w:style>
  <w:style w:type="paragraph" w:styleId="Title">
    <w:name w:val="Title"/>
    <w:basedOn w:val="Normal"/>
    <w:next w:val="Normal"/>
    <w:link w:val="TitleChar"/>
    <w:uiPriority w:val="10"/>
    <w:qFormat/>
    <w:rsid w:val="001A29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9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9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9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9BF"/>
    <w:pPr>
      <w:spacing w:before="160"/>
      <w:jc w:val="center"/>
    </w:pPr>
    <w:rPr>
      <w:i/>
      <w:iCs/>
      <w:color w:val="404040" w:themeColor="text1" w:themeTint="BF"/>
    </w:rPr>
  </w:style>
  <w:style w:type="character" w:customStyle="1" w:styleId="QuoteChar">
    <w:name w:val="Quote Char"/>
    <w:basedOn w:val="DefaultParagraphFont"/>
    <w:link w:val="Quote"/>
    <w:uiPriority w:val="29"/>
    <w:rsid w:val="001A29BF"/>
    <w:rPr>
      <w:i/>
      <w:iCs/>
      <w:color w:val="404040" w:themeColor="text1" w:themeTint="BF"/>
    </w:rPr>
  </w:style>
  <w:style w:type="paragraph" w:styleId="ListParagraph">
    <w:name w:val="List Paragraph"/>
    <w:basedOn w:val="Normal"/>
    <w:uiPriority w:val="34"/>
    <w:qFormat/>
    <w:rsid w:val="001A29BF"/>
    <w:pPr>
      <w:ind w:left="720"/>
      <w:contextualSpacing/>
    </w:pPr>
  </w:style>
  <w:style w:type="character" w:styleId="IntenseEmphasis">
    <w:name w:val="Intense Emphasis"/>
    <w:basedOn w:val="DefaultParagraphFont"/>
    <w:uiPriority w:val="21"/>
    <w:qFormat/>
    <w:rsid w:val="001A29BF"/>
    <w:rPr>
      <w:i/>
      <w:iCs/>
      <w:color w:val="0F4761" w:themeColor="accent1" w:themeShade="BF"/>
    </w:rPr>
  </w:style>
  <w:style w:type="paragraph" w:styleId="IntenseQuote">
    <w:name w:val="Intense Quote"/>
    <w:basedOn w:val="Normal"/>
    <w:next w:val="Normal"/>
    <w:link w:val="IntenseQuoteChar"/>
    <w:uiPriority w:val="30"/>
    <w:qFormat/>
    <w:rsid w:val="001A29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9BF"/>
    <w:rPr>
      <w:i/>
      <w:iCs/>
      <w:color w:val="0F4761" w:themeColor="accent1" w:themeShade="BF"/>
    </w:rPr>
  </w:style>
  <w:style w:type="character" w:styleId="IntenseReference">
    <w:name w:val="Intense Reference"/>
    <w:basedOn w:val="DefaultParagraphFont"/>
    <w:uiPriority w:val="32"/>
    <w:qFormat/>
    <w:rsid w:val="001A29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88068">
      <w:bodyDiv w:val="1"/>
      <w:marLeft w:val="0"/>
      <w:marRight w:val="0"/>
      <w:marTop w:val="0"/>
      <w:marBottom w:val="0"/>
      <w:divBdr>
        <w:top w:val="none" w:sz="0" w:space="0" w:color="auto"/>
        <w:left w:val="none" w:sz="0" w:space="0" w:color="auto"/>
        <w:bottom w:val="none" w:sz="0" w:space="0" w:color="auto"/>
        <w:right w:val="none" w:sz="0" w:space="0" w:color="auto"/>
      </w:divBdr>
    </w:div>
    <w:div w:id="1819565027">
      <w:bodyDiv w:val="1"/>
      <w:marLeft w:val="0"/>
      <w:marRight w:val="0"/>
      <w:marTop w:val="0"/>
      <w:marBottom w:val="0"/>
      <w:divBdr>
        <w:top w:val="none" w:sz="0" w:space="0" w:color="auto"/>
        <w:left w:val="none" w:sz="0" w:space="0" w:color="auto"/>
        <w:bottom w:val="none" w:sz="0" w:space="0" w:color="auto"/>
        <w:right w:val="none" w:sz="0" w:space="0" w:color="auto"/>
      </w:divBdr>
    </w:div>
    <w:div w:id="187711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BDD3A-3B18-4C73-B7DF-D3CD905B6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4</Pages>
  <Words>1215</Words>
  <Characters>6995</Characters>
  <Application>Microsoft Office Word</Application>
  <DocSecurity>0</DocSecurity>
  <Lines>174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Lape, Mike (He/Him/His)</dc:creator>
  <cp:keywords/>
  <dc:description/>
  <cp:lastModifiedBy>Lape, Mike (He/Him/His)</cp:lastModifiedBy>
  <cp:revision>14</cp:revision>
  <dcterms:created xsi:type="dcterms:W3CDTF">2025-06-03T21:48:00Z</dcterms:created>
  <dcterms:modified xsi:type="dcterms:W3CDTF">2025-06-05T16:39:00Z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e8f59030-277c-4ba7-9b77-5af12470719c</vt:lpwstr>
  </property>
</Properties>
</file>