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Ковтко Юрій Андрійвоич</w:t>
      </w:r>
      <w:r>
        <w:rPr>
          <w:rFonts w:cs="Times New Roman"/>
          <w:b/>
          <w:szCs w:val="28"/>
          <w:lang w:val="uk-UA"/>
        </w:rPr>
        <w:t xml:space="preserve">  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494665</wp:posOffset>
            </wp:positionH>
            <wp:positionV relativeFrom="page">
              <wp:posOffset>2305050</wp:posOffset>
            </wp:positionV>
            <wp:extent cx="6865620" cy="3530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899160</wp:posOffset>
            </wp:positionH>
            <wp:positionV relativeFrom="paragraph">
              <wp:posOffset>6496050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Розробка на основі фреймворку/бібліотеки React.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</w:rPr>
        <w:t>Під час виконання лабораторної роботи була розроблена та частина проекту, яка надає загальну структуру та зовнішній вигляд системі чатів, націлених для обговорення книг користувачам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. Під час створення застосунку був використаний фреймворк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Vue.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Базова структура чатів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Обраний чат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2997835</wp:posOffset>
            </wp:positionH>
            <wp:positionV relativeFrom="page">
              <wp:posOffset>590550</wp:posOffset>
            </wp:positionV>
            <wp:extent cx="2549525" cy="39287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1362710</wp:posOffset>
            </wp:positionH>
            <wp:positionV relativeFrom="page">
              <wp:posOffset>4743450</wp:posOffset>
            </wp:positionV>
            <wp:extent cx="5483225" cy="43783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агальна структура проек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Приклад компоненти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6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бу</w:t>
      </w:r>
      <w:r>
        <w:rPr>
          <w:rFonts w:cs="Times New Roman" w:ascii="Times New Roman" w:hAnsi="Times New Roman"/>
          <w:sz w:val="28"/>
          <w:szCs w:val="28"/>
          <w:lang w:val="ru-RU"/>
        </w:rPr>
        <w:t>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розроблена загальна структура та зовнішній вигляд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частини проекту,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основі технології React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WeirdFish09/OpenLibrar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2</Pages>
  <Words>112</Words>
  <Characters>830</Characters>
  <CharactersWithSpaces>947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2021-03-19T03:09:39Z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