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CE87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任务1：深度学习构建各学科排名模型</w:t>
      </w:r>
    </w:p>
    <w:p w14:paraId="60705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代码核心部分解释</w:t>
      </w:r>
    </w:p>
    <w:p w14:paraId="4CDB2D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数据加载与处理</w:t>
      </w:r>
    </w:p>
    <w:p w14:paraId="598999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文件遍历与读取：通过`os.listdir`遍历指定文件夹下的所有CSV文件，针对每个学科文件，使用`pd.read_csv`读取数据，`skipfooter=1`跳过最后一行版权信息，`engine='python'`确保该参数生效。</w:t>
      </w:r>
    </w:p>
    <w:p w14:paraId="49D1B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数据划分：将数据按8:2的比例随机划分为训练集和测试集。</w:t>
      </w:r>
    </w:p>
    <w:p w14:paraId="7ED8AAA9">
      <w:pPr>
        <w:rPr>
          <w:rFonts w:hint="default"/>
          <w:lang w:val="en-US" w:eastAsia="zh-CN"/>
        </w:rPr>
      </w:pPr>
    </w:p>
    <w:p w14:paraId="71D147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140710"/>
            <wp:effectExtent l="0" t="0" r="2540" b="2540"/>
            <wp:docPr id="1" name="图片 1" descr="0a17de2a030eda9ced867d50859cbf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a17de2a030eda9ced867d50859cbf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F9B1">
      <w:pPr>
        <w:rPr>
          <w:rFonts w:hint="default"/>
          <w:lang w:val="en-US" w:eastAsia="zh-CN"/>
        </w:rPr>
      </w:pPr>
    </w:p>
    <w:p w14:paraId="5AD35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模型构建与训练</w:t>
      </w:r>
    </w:p>
    <w:p w14:paraId="10CBD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特征与目标提取：从训练集和测试集中提取`Cites`、`Top_Papers`、`Cites_Per_Paper`作为特征`X`，`rank_position`作为目标`y`。</w:t>
      </w:r>
    </w:p>
    <w:p w14:paraId="4A7C41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特征标准化：使用`StandardScaler`对特征进行标准化，消除量纲差异，提升模型训练稳定性。</w:t>
      </w:r>
    </w:p>
    <w:p w14:paraId="15185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模型结构：采用`Keras`的函数式API构建神经网络，包含两个全连接层（64神经元和32神经元，激活函数为ReLU），并加入Dropout层防止过拟合，最后输出一个神经元用于预测排名。</w:t>
      </w:r>
    </w:p>
    <w:p w14:paraId="1E61D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模型训练：使用Adam优化器，以均方误差（MSE）为损失函数，结合早停（`EarlyStopping`）策略防止过拟合，训练50轮，批量大小为32。</w:t>
      </w:r>
    </w:p>
    <w:p w14:paraId="788DBE8E">
      <w:pPr>
        <w:rPr>
          <w:rFonts w:hint="default"/>
          <w:lang w:val="en-US" w:eastAsia="zh-CN"/>
        </w:rPr>
      </w:pPr>
    </w:p>
    <w:p w14:paraId="771075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247390"/>
            <wp:effectExtent l="0" t="0" r="2540" b="10160"/>
            <wp:docPr id="2" name="图片 2" descr="0424a559fe71aace530b0bc4509d69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424a559fe71aace530b0bc4509d69e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97424">
      <w:pPr>
        <w:rPr>
          <w:rFonts w:hint="default"/>
          <w:lang w:val="en-US" w:eastAsia="zh-CN"/>
        </w:rPr>
      </w:pPr>
    </w:p>
    <w:p w14:paraId="73DEA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模型评估与预测</w:t>
      </w:r>
    </w:p>
    <w:p w14:paraId="7DF34C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评估指标：计算测试集的均方误差（MSE）、平均绝对百分比误差（MAPE）和斯皮尔曼相关系数。MSE反映预测值与真实值的平方误差，MAPE体现相对误差，斯皮尔曼系数衡量排名的单调相关性。</w:t>
      </w:r>
    </w:p>
    <w:p w14:paraId="4F650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预测函数：根据输入的特征（被引数、顶尖论文数、篇均被引），通过已训练的模型和标准化器，输出预测排名。</w:t>
      </w:r>
    </w:p>
    <w:p w14:paraId="71C0DEAA">
      <w:pPr>
        <w:rPr>
          <w:rFonts w:hint="default"/>
          <w:lang w:val="en-US" w:eastAsia="zh-CN"/>
        </w:rPr>
      </w:pPr>
    </w:p>
    <w:p w14:paraId="151C87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5092065"/>
            <wp:effectExtent l="0" t="0" r="4445" b="13335"/>
            <wp:docPr id="3" name="图片 3" descr="7df4d6ff9f36e82562e95c72fd6998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7df4d6ff9f36e82562e95c72fd6998c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9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2AD7">
      <w:pPr>
        <w:rPr>
          <w:rFonts w:hint="default"/>
          <w:lang w:val="en-US" w:eastAsia="zh-CN"/>
        </w:rPr>
      </w:pPr>
    </w:p>
    <w:p w14:paraId="39B1D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实验结果分析</w:t>
      </w:r>
    </w:p>
    <w:p w14:paraId="3EFDE5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模型性能指标</w:t>
      </w:r>
    </w:p>
    <w:p w14:paraId="142533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均方误差（MSE）：不同学科的MSE差异较大，例如Engineering学科MSE为81929.7500，Clinical Medicine学科为79082.0000，说明模型在不同学科上的数值预测误差存在差异，这与学科数据的分布特性有关。</w:t>
      </w:r>
    </w:p>
    <w:p w14:paraId="76085D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平均绝对百分比误差（MAPE）：多数学科的MAPE在0.2~0.3之间，如Agricultural Sciences为0.2537，Biology &amp; Biochemistry为0.2772，表明模型的相对误差控制在20%~30%左右，在排名预测任务中属于可接受范围。</w:t>
      </w:r>
    </w:p>
    <w:p w14:paraId="2F7A1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-斯皮尔曼相关系数：多数学科的系数在0.9以上，如Economics &amp; Business为0.9958，Physics为0.9799，说明模型预测的排名与真实排名具有很强的单调相关性，即排名顺序的预测准确性较高。</w:t>
      </w:r>
    </w:p>
    <w:p w14:paraId="072216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724C0A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学科间差异</w:t>
      </w:r>
    </w:p>
    <w:p w14:paraId="67CAD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部分学科（如Economics &amp; Business、Physics）的斯皮尔曼系数接近1，排名预测的顺序一致性极佳；而个别学科（如Clinical Medicine）的MAPE稍高，可能是因为该学科数据的排名分布更复杂或样本量特性导致。</w:t>
      </w:r>
    </w:p>
    <w:p w14:paraId="22A613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65730" cy="4041140"/>
            <wp:effectExtent l="0" t="0" r="1270" b="16510"/>
            <wp:docPr id="4" name="图片 4" descr="e33ee9787f496c2dc75dc8225c3ca7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33ee9787f496c2dc75dc8225c3ca7f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573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560320" cy="4262755"/>
            <wp:effectExtent l="0" t="0" r="11430" b="4445"/>
            <wp:docPr id="5" name="图片 5" descr="53cc5e0d09612997325002ce866448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3cc5e0d09612997325002ce866448d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E2006">
      <w:pPr>
        <w:rPr>
          <w:rFonts w:hint="default"/>
          <w:lang w:val="en-US" w:eastAsia="zh-CN"/>
        </w:rPr>
      </w:pPr>
    </w:p>
    <w:p w14:paraId="4BFF3D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45410" cy="4021455"/>
            <wp:effectExtent l="0" t="0" r="2540" b="17145"/>
            <wp:docPr id="6" name="图片 6" descr="18a148c47e014c6fabdfa6048a2081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8a148c47e014c6fabdfa6048a2081b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541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517775" cy="3984625"/>
            <wp:effectExtent l="0" t="0" r="15875" b="15875"/>
            <wp:docPr id="7" name="图片 7" descr="3f41553578f8b40aacb4a1f5845956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3f41553578f8b40aacb4a1f5845956c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7775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865" cy="2457450"/>
            <wp:effectExtent l="0" t="0" r="6985" b="0"/>
            <wp:docPr id="8" name="图片 8" descr="f5afabde558fba41a493246fef27db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f5afabde558fba41a493246fef27db8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A17FA">
      <w:pPr>
        <w:rPr>
          <w:rFonts w:hint="default"/>
          <w:lang w:val="en-US" w:eastAsia="zh-CN"/>
        </w:rPr>
      </w:pPr>
    </w:p>
    <w:p w14:paraId="6FD1FAB8">
      <w:pPr>
        <w:rPr>
          <w:rFonts w:hint="default"/>
          <w:lang w:val="en-US" w:eastAsia="zh-CN"/>
        </w:rPr>
      </w:pPr>
    </w:p>
    <w:p w14:paraId="5A80955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任务2：聚类分析与华师大类似高校</w:t>
      </w:r>
    </w:p>
    <w:p w14:paraId="7371A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代码核心部分解释：</w:t>
      </w:r>
    </w:p>
    <w:p w14:paraId="74F1193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K-Means 聚类分析生成与华东师范大学学术特征类似的高校列表</w:t>
      </w:r>
    </w:p>
    <w:p w14:paraId="52872C5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29075" cy="1095375"/>
            <wp:effectExtent l="0" t="0" r="9525" b="9525"/>
            <wp:docPr id="9" name="图片 9" descr="6d8de06c9f0b53012bfe542f3ff04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6d8de06c9f0b53012bfe542f3ff047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5499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选择被引数、篇均被引、顶尖论文数作为聚类特征，使用StandardScaler对特征进行标准化，消除不同特征之间的量纲差异，保证聚类算法的稳定性。</w:t>
      </w:r>
    </w:p>
    <w:p w14:paraId="264F590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C375A9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810125" cy="790575"/>
            <wp:effectExtent l="0" t="0" r="9525" b="9525"/>
            <wp:docPr id="10" name="图片 10" descr="dba68b25049dc34682ed6429423635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dba68b25049dc34682ed6429423635b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B68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 K-Means 聚类算法将高校按学术特征分为 5 类，为每个高校分配聚类标签。</w:t>
      </w:r>
    </w:p>
    <w:p w14:paraId="42909D1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</w:p>
    <w:p w14:paraId="4D70C20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2.绘制肘部图并结合轮廓系数确定最优聚类数</w:t>
      </w:r>
    </w:p>
    <w:p w14:paraId="63961B6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638675" cy="3724275"/>
            <wp:effectExtent l="0" t="0" r="9525" b="9525"/>
            <wp:docPr id="11" name="图片 11" descr="2395bc3abc6235a5b3c5ba24ab606b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2395bc3abc6235a5b3c5ba24ab606b2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8D98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Means 的 “总平方误差（SSE）” 表示所有样本到其簇中心的距离平方和。当聚类数k较小时，SSE 下降极快（因为少的簇会强行包含差异大的样本）；当k增大到 “合理值” 时，SSE 下降速率会骤减（形成 “肘部”），此时的k是候选最优聚类数。</w:t>
      </w:r>
    </w:p>
    <w:p w14:paraId="388E736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7D4AD6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0E1F2C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618D00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010150" cy="3829050"/>
            <wp:effectExtent l="0" t="0" r="0" b="0"/>
            <wp:docPr id="12" name="图片 12" descr="e925ff31ac9d625e6cc8166c7e6eb2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e925ff31ac9d625e6cc8166c7e6eb21b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FCF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轮廓系数是衡量 “类内紧凑度” 和 “类间分离度” 的综合指标，取值范围[-1, 1]。系数越接近 1，聚类效果越好（类内样本越紧凑，类间样本越分离）。遍历k=2~14，选择轮廓系数最大的k作为最优解。</w:t>
      </w:r>
    </w:p>
    <w:p w14:paraId="3C92B87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</w:p>
    <w:p w14:paraId="0ECDBA8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</w:p>
    <w:p w14:paraId="6A0365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实验结果分析：</w:t>
      </w:r>
    </w:p>
    <w:p w14:paraId="553FD5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本实验采用K-Means 聚类算法，初始预设</w:t>
      </w:r>
      <w:r>
        <w:rPr>
          <w:rFonts w:hint="eastAsia"/>
          <w:lang w:val="en-US" w:eastAsia="zh-CN"/>
        </w:rPr>
        <w:t>聚类数</w:t>
      </w:r>
      <w:r>
        <w:rPr>
          <w:rFonts w:hint="default"/>
          <w:lang w:val="en-US" w:eastAsia="zh-CN"/>
        </w:rPr>
        <w:t>k=8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将高校分为 8 类</w:t>
      </w:r>
      <w:r>
        <w:rPr>
          <w:rFonts w:hint="eastAsia"/>
          <w:lang w:val="en-US" w:eastAsia="zh-CN"/>
        </w:rPr>
        <w:t>；后</w:t>
      </w:r>
      <w:r>
        <w:rPr>
          <w:rFonts w:hint="default"/>
          <w:lang w:val="en-US" w:eastAsia="zh-CN"/>
        </w:rPr>
        <w:t>通过肘部法则和轮廓系数对聚类数进行科学验证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肘部图显示，当k=2时总平方误差（SSE）的下降速率骤减，符合 “肘部” 的数学定义；轮廓系数计算结果显示，k=2时系数最高，从统计角度是 “最优聚类数”。但该结果在业务场景中明显不合理 ——k=2会将绝大多数高校归为两类，无法区分学术特征的精细差异，导致 “与华师大类似的高校数量极多（如实验中出现 3 万余所）”，失去聚类的业务意义。</w:t>
      </w:r>
      <w:r>
        <w:rPr>
          <w:rFonts w:hint="eastAsia"/>
          <w:lang w:val="en-US" w:eastAsia="zh-CN"/>
        </w:rPr>
        <w:t>后将</w:t>
      </w:r>
      <w:r>
        <w:rPr>
          <w:rFonts w:hint="default"/>
          <w:lang w:val="en-US" w:eastAsia="zh-CN"/>
        </w:rPr>
        <w:t>业务驱动的聚类数调整k</w:t>
      </w:r>
      <w:r>
        <w:rPr>
          <w:rFonts w:hint="eastAsia"/>
          <w:lang w:val="en-US" w:eastAsia="zh-CN"/>
        </w:rPr>
        <w:t>为5</w:t>
      </w:r>
      <w:r>
        <w:rPr>
          <w:rFonts w:hint="default"/>
          <w:lang w:val="en-US" w:eastAsia="zh-CN"/>
        </w:rPr>
        <w:t>，并重新解读肘部图（k=5时 SSE 下降速率虽不如k=2骤减，但分组更具业务区分度），最终选择k=5作为聚类数。基于k=5的聚类结果，定位华师大所在的聚类簇，提取该簇内的所有高校，这些高校在 “被引数、篇均被引、顶尖论文数” 的组合特征上与华师大高度相似。</w:t>
      </w:r>
    </w:p>
    <w:p w14:paraId="6449DF32">
      <w:pPr>
        <w:rPr>
          <w:rFonts w:hint="default"/>
          <w:lang w:val="en-US" w:eastAsia="zh-CN"/>
        </w:rPr>
      </w:pPr>
    </w:p>
    <w:p w14:paraId="5A68A10B">
      <w:pPr>
        <w:rPr>
          <w:rFonts w:hint="default"/>
          <w:lang w:val="en-US" w:eastAsia="zh-CN"/>
        </w:rPr>
      </w:pPr>
    </w:p>
    <w:p w14:paraId="69D42CCC">
      <w:pPr>
        <w:rPr>
          <w:rFonts w:hint="eastAsia"/>
          <w:lang w:val="en-US" w:eastAsia="zh-CN"/>
        </w:rPr>
      </w:pPr>
    </w:p>
    <w:p w14:paraId="054D130E">
      <w:pPr>
        <w:rPr>
          <w:rFonts w:hint="default"/>
          <w:lang w:val="en-US" w:eastAsia="zh-CN"/>
        </w:rPr>
      </w:pPr>
    </w:p>
    <w:p w14:paraId="0EB7C4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91075" cy="5295900"/>
            <wp:effectExtent l="0" t="0" r="9525" b="0"/>
            <wp:docPr id="16" name="图片 16" descr="a242b35376e51914d3bc52fea2b3ec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a242b35376e51914d3bc52fea2b3ec3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E034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从肘部图可以看出，当聚类数 k=2 时，总平方误差（SSE）的下降速率最为陡峭；当 k&gt;2 后，SSE 的下降速率逐渐变缓。从纯数学角度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k=2是肘部法则的 “最优” 候选，因为此时算法对数据的 “拟合程度提升” 开始大幅衰减。</w:t>
      </w:r>
    </w:p>
    <w:p w14:paraId="6AD9C7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3204210"/>
            <wp:effectExtent l="0" t="0" r="11430" b="15240"/>
            <wp:docPr id="14" name="图片 14" descr="ee9be4b232823f0fca59661dbdf0d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ee9be4b232823f0fca59661dbdf0d08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6C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47996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轮廓系数曲线显示，当k=2 时，轮廓系数达到最高值（接近 0.9）。这表明从 “类内紧凑度” 和 “类间分离度” 的统计角度，k=2是聚类质量最优的选择 —— 类内样本的相似度高，类间样本的差异度大。</w:t>
      </w:r>
    </w:p>
    <w:p w14:paraId="601A25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3592830"/>
            <wp:effectExtent l="0" t="0" r="3810" b="7620"/>
            <wp:docPr id="15" name="图片 15" descr="ebeac1a6208aa300b8f3d4ecb9e0d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ebeac1a6208aa300b8f3d4ecb9e0d5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4BB6">
      <w:pPr>
        <w:rPr>
          <w:rFonts w:hint="default"/>
          <w:lang w:val="en-US" w:eastAsia="zh-CN"/>
        </w:rPr>
      </w:pPr>
    </w:p>
    <w:p w14:paraId="7DDA0509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原因分析：</w:t>
      </w:r>
    </w:p>
    <w:p w14:paraId="03251D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从聚类结果和学术特征维度来看，与华师大类似的高校主要在学科定位、学术产出模式</w:t>
      </w:r>
      <w:r>
        <w:rPr>
          <w:rFonts w:hint="eastAsia"/>
          <w:lang w:val="en-US" w:eastAsia="zh-CN"/>
        </w:rPr>
        <w:t>等</w:t>
      </w:r>
      <w:r>
        <w:rPr>
          <w:rFonts w:hint="default"/>
          <w:lang w:val="en-US" w:eastAsia="zh-CN"/>
        </w:rPr>
        <w:t>层面呈现高度相似性，具体分析如下：</w:t>
      </w:r>
    </w:p>
    <w:p w14:paraId="7ACD8A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一、学科定位：</w:t>
      </w:r>
    </w:p>
    <w:p w14:paraId="3A332C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华师大的优势学科集中在教育学、地理学、生态学、统计学等领域，类似高校同样以 “特色学科集群” 作为核心竞争力</w:t>
      </w:r>
      <w:r>
        <w:rPr>
          <w:rFonts w:hint="eastAsia"/>
          <w:lang w:val="en-US" w:eastAsia="zh-CN"/>
        </w:rPr>
        <w:t>。</w:t>
      </w:r>
    </w:p>
    <w:p w14:paraId="6F81C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二、学术产出：高质量论文 + 领域内高被引</w:t>
      </w:r>
    </w:p>
    <w:p w14:paraId="3174FD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华师大在教育学、理学领域的论文具有篇均被引高、顶尖论文占比突出的特点，类似高校的学术产出模式高度契合这一特征</w:t>
      </w:r>
      <w:r>
        <w:rPr>
          <w:rFonts w:hint="eastAsia"/>
          <w:lang w:val="en-US" w:eastAsia="zh-CN"/>
        </w:rPr>
        <w:t>。</w:t>
      </w:r>
    </w:p>
    <w:p w14:paraId="2932B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从聚类特征（被引数、篇均被引、顶尖论文数）来看，这些高校的学术成果是领域内高认可度的中高端产出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论文引用频次稳定。</w:t>
      </w:r>
    </w:p>
    <w:p w14:paraId="778BFE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例如，中国农业大学在农业科学领域的论文长期处于 “领域内高被引梯队”，与华师大在教育学领域的论文影响力分布高度相似。</w:t>
      </w:r>
    </w:p>
    <w:p w14:paraId="2E243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从技术层面，K-Means 算法基于“被引数、篇均被引、顶尖论文数”的特征向量进行聚类，这些量化指标客观反映了高校的学术产出规模、质量和认可度。华师大与类似高校在这些指标上的 “向量相似度”，是算法将其归为同一簇的直接原因。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A0697C"/>
    <w:multiLevelType w:val="singleLevel"/>
    <w:tmpl w:val="0FA0697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C866768"/>
    <w:multiLevelType w:val="singleLevel"/>
    <w:tmpl w:val="4C866768"/>
    <w:lvl w:ilvl="0" w:tentative="0">
      <w:start w:val="11"/>
      <w:numFmt w:val="upperLetter"/>
      <w:suff w:val="nothing"/>
      <w:lvlText w:val="%1-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930D09"/>
    <w:rsid w:val="08F16230"/>
    <w:rsid w:val="148458D3"/>
    <w:rsid w:val="19AF2F90"/>
    <w:rsid w:val="28F96D0F"/>
    <w:rsid w:val="290B259E"/>
    <w:rsid w:val="32930D09"/>
    <w:rsid w:val="448636F5"/>
    <w:rsid w:val="5AB67D0C"/>
    <w:rsid w:val="60803296"/>
    <w:rsid w:val="62353C0D"/>
    <w:rsid w:val="682F2699"/>
    <w:rsid w:val="6AE0505D"/>
    <w:rsid w:val="6AF233B7"/>
    <w:rsid w:val="6BE74475"/>
    <w:rsid w:val="6C003240"/>
    <w:rsid w:val="737B2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76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2025-11-01T12:39:00Z</dcterms:created>
  <dc:creator>微信用户</dc:creator>
  <cp:lastModifiedBy>微信用户</cp:lastModifiedBy>
  <dcterms:modified xsi:type="dcterms:W3CDTF">2025-11-01T14:41:04Z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993B23A3428C4ED5B7E1005473A561D2_11</vt:lpwstr>
  </property>
  <property fmtid="{D5CDD505-2E9C-101B-9397-08002B2CF9AE}" pid="4" name="KSOTemplateDocerSaveRecord">
    <vt:lpwstr>eyJoZGlkIjoiMzEwNTM5NzYwMDRjMzkwZTVkZjY2ODkwMGIxNGU0OTUiLCJ1c2VySWQiOiIxMjc1Nzg0MjY5In0=</vt:lpwstr>
  </property>
</Properties>
</file>