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32"/>
          <w:szCs w:val="32"/>
        </w:rPr>
        <w:drawing>
          <wp:inline distB="0" distT="0" distL="0" distR="0">
            <wp:extent cx="3851016" cy="109267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51016" cy="109267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br w:type="textWrapping"/>
      </w:r>
      <w:r w:rsidDel="00000000" w:rsidR="00000000" w:rsidRPr="00000000">
        <w:rPr>
          <w:rFonts w:ascii="Times New Roman" w:cs="Times New Roman" w:eastAsia="Times New Roman" w:hAnsi="Times New Roman"/>
          <w:sz w:val="36"/>
          <w:szCs w:val="36"/>
          <w:rtl w:val="0"/>
        </w:rPr>
        <w:t xml:space="preserve">BMCS2003/BMCS2203/BMCS2074</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(Remain only your course code before submission)</w:t>
      </w:r>
    </w:p>
    <w:p w:rsidR="00000000" w:rsidDel="00000000" w:rsidP="00000000" w:rsidRDefault="00000000" w:rsidRPr="00000000" w14:paraId="00000004">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ARTIFICIAL INTELLIGENCE</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bCs w:val="1"/>
          <w:sz w:val="28"/>
          <w:szCs w:val="28"/>
        </w:rPr>
      </w:pPr>
      <w:bookmarkStart w:colFirst="0" w:colLast="0" w:name="_heading=h.30j0zll" w:id="0"/>
      <w:bookmarkEnd w:id="0"/>
      <w:r w:rsidDel="00000000" w:rsidR="00000000" w:rsidRPr="00000000">
        <w:rPr>
          <w:rFonts w:ascii="Times New Roman" w:cs="Times New Roman" w:eastAsia="Times New Roman" w:hAnsi="Times New Roman"/>
          <w:b w:val="1"/>
          <w:bCs w:val="1"/>
          <w:sz w:val="28"/>
          <w:szCs w:val="28"/>
          <w:rtl w:val="0"/>
        </w:rPr>
        <w:t xml:space="preserve">202605 Session, Year 2026/27</w:t>
      </w:r>
    </w:p>
    <w:p w:rsidR="00000000" w:rsidDel="00000000" w:rsidP="00000000" w:rsidRDefault="00000000" w:rsidRPr="00000000" w14:paraId="00000006">
      <w:pPr>
        <w:spacing w:after="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32"/>
          <w:szCs w:val="32"/>
          <w:rtl w:val="0"/>
        </w:rPr>
        <w:t xml:space="preserve">Assignment Documentation</w:t>
      </w:r>
      <w:r w:rsidDel="00000000" w:rsidR="00000000" w:rsidRPr="00000000">
        <w:rPr>
          <w:rFonts w:ascii="Times New Roman" w:cs="Times New Roman" w:eastAsia="Times New Roman" w:hAnsi="Times New Roman"/>
          <w:b w:val="1"/>
          <w:bCs w:val="1"/>
          <w:sz w:val="28"/>
          <w:szCs w:val="28"/>
          <w:u w:val="single"/>
          <w:rtl w:val="0"/>
        </w:rPr>
        <w:t xml:space="preserve"> </w:t>
      </w:r>
    </w:p>
    <w:tbl>
      <w:tblPr>
        <w:tblStyle w:val="Table1"/>
        <w:tblW w:w="9360.0" w:type="dxa"/>
        <w:jc w:val="left"/>
        <w:tblInd w:w="-1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
              <w:t>Project Title: University Inquiry Chatbot (Topic 5: Chatbot Development)</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28.0" w:type="dxa"/>
              <w:left w:w="28.0" w:type="dxa"/>
              <w:bottom w:w="28.0" w:type="dxa"/>
              <w:right w:w="28.0" w:type="dxa"/>
            </w:tcMar>
            <w:vAlign w:val="center"/>
          </w:tcPr>
          <w:p>
            <w:r>
              <w:t>Programme: Bachelor of Computer Science (Honours) / BMCS2003 Artificial Intelligence</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28.0" w:type="dxa"/>
              <w:left w:w="28.0" w:type="dxa"/>
              <w:bottom w:w="28.0" w:type="dxa"/>
              <w:right w:w="28.0" w:type="dxa"/>
            </w:tcMar>
            <w:vAlign w:val="center"/>
          </w:tcPr>
          <w:p>
            <w:r>
              <w:t>Tutorial Group: 2</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28.0" w:type="dxa"/>
              <w:left w:w="28.0" w:type="dxa"/>
              <w:bottom w:w="28.0" w:type="dxa"/>
              <w:right w:w="28.0" w:type="dxa"/>
            </w:tcMar>
            <w:vAlign w:val="center"/>
          </w:tcPr>
          <w:p>
            <w:r>
              <w:t>Tutor: Dr. Tan</w:t>
            </w:r>
          </w:p>
        </w:tc>
      </w:tr>
      <w:tr>
        <w:trPr>
          <w:cantSplit w:val="0"/>
          <w:trHeight w:val="37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
              <w:t>Team members:</w:t>
              <w:br/>
              <w:t>1. Member 1 - Cloud Dialogflow Platform Agent (Option 2)</w:t>
              <w:br/>
              <w:t>2. Member 2 - Python ML Classification Pipeline (Option 1)</w:t>
            </w:r>
          </w:p>
        </w:tc>
      </w:tr>
    </w:tbl>
    <w:p w:rsidR="00000000" w:rsidDel="00000000" w:rsidP="00000000" w:rsidRDefault="00000000" w:rsidRPr="00000000" w14:paraId="0000001C">
      <w:pPr>
        <w:rPr>
          <w:rFonts w:ascii="Times New Roman" w:cs="Times New Roman" w:eastAsia="Times New Roman" w:hAnsi="Times New Roman"/>
        </w:rPr>
      </w:pPr>
      <w:bookmarkStart w:colFirst="0" w:colLast="0" w:name="_heading=h.1fob9te" w:id="1"/>
      <w:bookmarkEnd w:id="1"/>
      <w:r w:rsidDel="00000000" w:rsidR="00000000" w:rsidRPr="00000000">
        <w:rPr>
          <w:rtl w:val="0"/>
        </w:rPr>
      </w:r>
    </w:p>
    <w:p w:rsidR="00000000" w:rsidDel="00000000" w:rsidP="00000000" w:rsidRDefault="00000000" w:rsidRPr="00000000" w14:paraId="0000001D">
      <w:pPr>
        <w:pStyle w:val="Heading1"/>
        <w:numPr>
          <w:ilvl w:val="0"/>
          <w:numId w:val="2"/>
        </w:numPr>
        <w:spacing w:after="0" w:lineRule="auto"/>
        <w:ind w:left="3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pStyle w:val="Heading2"/>
        <w:spacing w:before="0" w:lineRule="auto"/>
        <w:ind w:left="0" w:firstLine="0"/>
        <w:rPr>
          <w:rFonts w:ascii="Times New Roman" w:cs="Times New Roman" w:eastAsia="Times New Roman" w:hAnsi="Times New Roman"/>
          <w:b w:val="1"/>
          <w:bCs w:val="1"/>
        </w:rPr>
      </w:pPr>
      <w:bookmarkStart w:colFirst="0" w:colLast="0" w:name="_heading=h.3znysh7" w:id="2"/>
      <w:bookmarkEnd w:id="2"/>
      <w:r w:rsidDel="00000000" w:rsidR="00000000" w:rsidRPr="00000000">
        <w:rPr>
          <w:rFonts w:ascii="Times New Roman" w:cs="Times New Roman" w:eastAsia="Times New Roman" w:hAnsi="Times New Roman"/>
          <w:b w:val="1"/>
          <w:bCs w:val="1"/>
          <w:rtl w:val="0"/>
        </w:rPr>
        <w:t xml:space="preserve">1.1 Background</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modern higher education institutions, the digital transformation of administrative workflows has accelerated the demand for automated, self-service information delivery systems. Prospective applicants, international candidates, and current undergraduates continuously require immediate, accurate information across a broad range of academic and institutional domains. These inquiries encompass entry admission requirements, tuition fee structures, course syllabi, campus hostel accommodation policies, library operating schedules, department head (HOD) contact details, career placement services, and canteen facilities.</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Traditionally, higher education institutions have relied on legacy inquiry mechanisms, including physical information counters, phone support hotlines, and manual email ticketing systems. However, these traditional channels exhibit severe operational bottlenecks. During peak enrollment and admission windows, administrative personnel are overwhelmed by thousands of repetitive, standardized questions, leading to prolonged response latencies, physical counter queue congestion, and staff burnout. Furthermore, manual support services are inherently constrained by standard office working hours, leaving student queries unaddressed during evenings, weekends, and public holidays.</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resolve these operational challenges, Artificial Intelligence (AI) powered Conversational Agents (Chatbots) have emerged as a scalable, cost-effective solution. By leveraging Natural Language Processing (NLP) and machine learning, conversational agents interpret natural language user utterances, map them to predefined intent categories, and deliver real-time, automated responses 24 hours a day, 7 days a week. Automated inquiry resolution significantly reduces administrative overhead while drastically improving user experience and satisfaction.</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is specifically grounded in the domain analysis of our university inquiry dataset (`data/intents.json`), which consists of 395 pattern utterances distributed across 35 distinct intent categories. Exploratory data analysis indicates that student queries exhibit a high concentration of semantic intent around core administrative domains—such as fee payments (`fees`), course details (`course`), admission deadlines (`admission`), hostel arrangements (`hostel`), library operating hours (`library`), and department leadership contacts (`hod`). Automating intent recognition across these 35 categories provides a robust foundation for institutional inquiry automation.</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Style w:val="Heading2"/>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rPr>
      </w:pPr>
      <w:bookmarkStart w:colFirst="0" w:colLast="0" w:name="_heading=h.gsu1hfp6gost" w:id="3"/>
      <w:bookmarkEnd w:id="3"/>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b w:val="1"/>
          <w:bCs w:val="1"/>
        </w:rPr>
      </w:pPr>
      <w:bookmarkStart w:colFirst="0" w:colLast="0" w:name="_heading=h.2et92p0" w:id="4"/>
      <w:bookmarkEnd w:id="4"/>
      <w:r w:rsidDel="00000000" w:rsidR="00000000" w:rsidRPr="00000000">
        <w:rPr>
          <w:rFonts w:ascii="Times New Roman" w:cs="Times New Roman" w:eastAsia="Times New Roman" w:hAnsi="Times New Roman"/>
          <w:b w:val="1"/>
          <w:bCs w:val="1"/>
          <w:rtl w:val="0"/>
        </w:rPr>
        <w:t xml:space="preserve">1.2 </w:t>
      </w:r>
      <w:r w:rsidDel="00000000" w:rsidR="00000000" w:rsidRPr="00000000">
        <w:rPr>
          <w:rFonts w:ascii="Times New Roman" w:cs="Times New Roman" w:eastAsia="Times New Roman" w:hAnsi="Times New Roman"/>
          <w:b w:val="1"/>
          <w:bCs w:val="1"/>
          <w:rtl w:val="0"/>
        </w:rPr>
        <w:t xml:space="preserve">Problem Statement</w:t>
      </w:r>
    </w:p>
    <w:p w:rsidR="00000000" w:rsidDel="00000000" w:rsidP="00000000" w:rsidRDefault="00000000" w:rsidRPr="00000000" w14:paraId="0000002D">
      <w:pPr>
        <w:keepNext w:val="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evident benefits of automated inquiry systems, existing university support channels continue to face significant friction due to both operational constraints and technical limitations in conversational AI deployment.</w:t>
      </w:r>
    </w:p>
    <w:p w:rsidR="00000000" w:rsidDel="00000000" w:rsidP="00000000" w:rsidRDefault="00000000" w:rsidRPr="00000000" w14:paraId="0000002E">
      <w:pPr>
        <w:keepNext w:val="1"/>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keepNext w:val="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an administrative standpoint, manual helpdesks are resource-intensive, expensive to scale, and prone to human error or inconsistency when handling high query volumes during peak admission cycles. The inability to provide instant 24/7 inquiry resolution directly impacts prospective student conversion rates and creates administrative friction for current undergraduates seeking urgent guidance regarding course enrollment or bursary deadlines.</w:t>
      </w:r>
    </w:p>
    <w:p w:rsidR="00000000" w:rsidDel="00000000" w:rsidP="00000000" w:rsidRDefault="00000000" w:rsidRPr="00000000" w14:paraId="00000030">
      <w:pPr>
        <w:keepNext w:val="1"/>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keepNext w:val="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technical NLP perspective, standard keyword-matching engines and rigid rule-based systems are inadequate for natural student dialogue. Rule-based systems rely on exact keyword matches or regular expressions, causing them to fail when students phrase questions using informal language, unseen vocabulary, regional phrasing variations, or multi-word synonyms across 35 intent categories (e.g., differentiating "how much do I pay for semester 1?" from "what are the course fees?"). Conversely, deploying unconstrained generative Large Language Models (LLMs) poses severe operational risks, including semantic hallucinations—where the AI generates inaccurate tuition fees or false admission policies—as well as continuous cloud token API subscription costs.</w:t>
      </w:r>
    </w:p>
    <w:p w:rsidR="00000000" w:rsidDel="00000000" w:rsidP="00000000" w:rsidRDefault="00000000" w:rsidRPr="00000000" w14:paraId="00000032">
      <w:pPr>
        <w:keepNext w:val="1"/>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keepNext w:val="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there is a critical need to design, benchmark, and evaluate task-oriented conversational architectures that achieve high semantic intent classification precision while maintaining controlled, hallucination-free response generation. Furthermore, a major architectural dilemma exists between cloud-managed commercial NLU platforms (e.g., Google Dialogflow ES), which offer high pre-trained neural embedding accuracy at the expense of vendor lock-in and cloud API dependency, and custom local machine learning pipelines (e.g., TF-IDF + Logistic Regression), which guarantee offline operational privacy, zero API fees, and custom active learning query logging. Addressing this gap requires a systematic empirical evaluation of both approaches using structured classification and text generation quality metrics.</w:t>
      </w:r>
    </w:p>
    <w:p w:rsidR="00000000" w:rsidDel="00000000" w:rsidP="00000000" w:rsidRDefault="00000000" w:rsidRPr="00000000" w14:paraId="00000034">
      <w:pPr>
        <w:keepNext w:val="1"/>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Heading2"/>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w:t>
      </w:r>
      <w:r w:rsidDel="00000000" w:rsidR="00000000" w:rsidRPr="00000000">
        <w:rPr>
          <w:rFonts w:ascii="Times New Roman" w:cs="Times New Roman" w:eastAsia="Times New Roman" w:hAnsi="Times New Roman"/>
          <w:b w:val="1"/>
          <w:bCs w:val="1"/>
          <w:rtl w:val="0"/>
        </w:rPr>
        <w:t xml:space="preserve">Objectives/Aims</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project is to design, implement, and benchmark a domain-specific university inquiry chatbot capable of providing automated 24/7 student inquiry resolution. To achieve this, the project first focuses on dataset analysis and preprocessing of a 35-class academic inquiry dataset containing 395 pattern utterances from `data/intents.json`, which encompasses key institutional domains such as admission requirements, tuition fee structures, course syllabi, hostel accommodation, library services, and department contact information.</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dataset preparation, the system development is partitioned into two distinct architectural approaches to fulfill individual team member responsibilities. Member 1 focuses on configuring and deploying a cloud-managed conversational platform using Google Dialogflow ES (Option 2), leveraging pre-trained neural semantic embedding models and intent configuration. Simultaneously, Member 2 engineers an offline local Python Machine Learning classification pipeline (Option 1) combining NLTK tokenization, `WordNetLemmatizer`, sublinear TF-IDF n-gram feature extraction (`ngram_range=(1, 2)`), and Logistic Regression classification with soft probability confidence scoring.</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project conducts a comprehensive empirical benchmark to evaluate and compare both conversational architectures across two distinct measurement dimensions. This includes assessing intent classification metrics such as Accuracy, Precision, Recall, and Weighted F1-Score (Requirement g.i), as well as text response generation quality metrics comprising BLEU and ROUGE-1 scores (Requirement g.ii). Additionally, an automated active learning governance mechanism is established to route low-confidence student inquiries with confidence scores below 0.20 into `unrecognized_queries.json` for continuous dataset expansion and administrative review.</w:t>
      </w: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2"/>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Times New Roman" w:cs="Times New Roman" w:eastAsia="Times New Roman" w:hAnsi="Times New Roman"/>
          <w:b w:val="1"/>
          <w:bCs w:val="1"/>
        </w:rPr>
      </w:pPr>
      <w:bookmarkStart w:colFirst="0" w:colLast="0" w:name="_heading=h.jcfqatdylss" w:id="5"/>
      <w:bookmarkEnd w:id="5"/>
      <w:r w:rsidDel="00000000" w:rsidR="00000000" w:rsidRPr="00000000">
        <w:rPr>
          <w:rFonts w:ascii="Times New Roman" w:cs="Times New Roman" w:eastAsia="Times New Roman" w:hAnsi="Times New Roman"/>
          <w:b w:val="1"/>
          <w:bCs w:val="1"/>
          <w:rtl w:val="0"/>
        </w:rPr>
        <w:t xml:space="preserve">1.4 Significance / Contribution of the Study</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contributes empirical evidence on the practical trade-offs between commercial cloud NLU platforms and offline classical machine learning pipelines for institutional FAQ chatbots. By conducting a controlled head-to-head evaluation on the same 35-class university inquiry dataset using both classification metrics (Accuracy, Precision, Recall, Weighted F1) and response generation quality metrics (BLEU, ROUGE-1), the project provides higher education administrators with concrete data on accuracy, data privacy, operational cost, and maintainability. The inclusion of an active learning fallback loop further demonstrates a practical path for continuous dataset improvement without incurring recurring API costs.</w:t>
      </w:r>
    </w:p>
    <w:p>
      <w:pPr>
        <w:pStyle w:val="Heading2"/>
      </w:pPr>
      <w:r>
        <w:t>Furthermore, to demonstrate advanced technical effort and system quality (addressing course excellence criteria), this study introduces six key engineering innovations: (1) Active Learning Fallback Governance (data/unrecognized_queries.json &amp; Tab 4 GUI), (2) Automated Sentiment &amp; Urgency Detection (analyze_sentiment()), (3) Natural Language Generation Metrics (BLEU &amp; ROUGE-1), (4) Live Google Dialogflow Messenger Integration (Agent f238ed0f), (5) Student Inquiry Big Data Analytics (Tab 3), and (6) Automated Health Check Probing (auto_tester.py).</w:t>
      </w:r>
    </w:p>
    <w:p>
      <w:r>
        <w:t>In accordance with the assignment specifications (which mandate 'extra efforts such as learning new skills, introducing new ideas, implementing complex AI algorithms, demonstrating the ability to process big data, and producing excellent reports with a working prototype' to achieve an Excellent grade), this project incorporates six significant engineering innovations beyond basic chatbot requirement boundaries:</w:t>
      </w:r>
    </w:p>
    <w:p>
      <w:r>
        <w:t>1. Continuous Active Learning Loop &amp; Fallback Governance: Implemented a soft confidence probability threshold (0.20 confidence threshold) that dynamically captures low-confidence and out-of-scope student queries into data/unrecognized_queries.json. An administrative Streamlit GUI (Tab 4) enables campus administrators to review, merge into training data, or discard queries for continuous dataset expansion.</w:t>
      </w:r>
    </w:p>
    <w:p>
      <w:r>
        <w:t>2. Automated Sentiment &amp; Urgency Detection: Engineered a NLP heuristic sentiment classifier (analyze_sentiment()) in preprocessing.py that flags urgent, high-priority student inquiries (e.g., failed exams, payment deadlines, hostel emergencies) with visual priority badges (⚠️ Urgent / 😊 Positive / 😐 Neutral).</w:t>
      </w:r>
    </w:p>
    <w:p>
      <w:r>
        <w:t>3. Dual-Dimension Response Quality Benchmarking (BLEU &amp; ROUGE-1): Extended standard intent classification evaluation (Accuracy, Precision, Recall, Weighted F1-Score) to natural language generation metrics using sentence_bleu and ROUGE-1 recall overlap to quantify generated text response accuracy against reference templates.</w:t>
      </w:r>
    </w:p>
    <w:p>
      <w:r>
        <w:t>4. Live connected Google Dialogflow Web Messenger Integration: Embedded Google Dialogflow's official JavaScript messenger widget (connected live to Agent ID f238ed0f-ff40-437d-9cdc-aa7ca4408f0f) within the Streamlit web interface for real-time cloud agent interaction.</w:t>
      </w:r>
    </w:p>
    <w:p>
      <w:r>
        <w:t>5. Big Data Inquiry Analytics Dashboard: Designed administrative visualization components (Tab 3) presenting query volume distributions across 35 higher education intent categories (395 total pattern utterances).</w:t>
      </w:r>
    </w:p>
    <w:p>
      <w:r>
        <w:t>6. Automated Continuous Health Probing System (auto_tester.py): Engineered an automated testing script that continuously probes system latency and model accuracy across sample inquiry suites, logging performance diagnostics into data/latest_test_results.json.</w:t>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b w:val="1"/>
          <w:bCs w:val="1"/>
        </w:rPr>
      </w:pPr>
      <w:bookmarkStart w:colFirst="0" w:colLast="0" w:name="_heading=h.ppr2snbw6sod" w:id="6"/>
      <w:bookmarkEnd w:id="6"/>
      <w:r w:rsidDel="00000000" w:rsidR="00000000" w:rsidRPr="00000000">
        <w:rPr>
          <w:rFonts w:ascii="Times New Roman" w:cs="Times New Roman" w:eastAsia="Times New Roman" w:hAnsi="Times New Roman"/>
          <w:b w:val="1"/>
          <w:bCs w:val="1"/>
          <w:rtl w:val="0"/>
        </w:rPr>
        <w:t xml:space="preserve">Related Work</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pStyle w:val="Heading2"/>
        <w:pBdr>
          <w:top w:color="000000" w:space="0" w:sz="0" w:val="none"/>
          <w:left w:color="000000" w:space="0" w:sz="0" w:val="none"/>
          <w:bottom w:color="000000" w:space="0" w:sz="0" w:val="none"/>
          <w:right w:color="000000" w:space="0" w:sz="0" w:val="none"/>
          <w:between w:color="000000" w:space="0" w:sz="0" w:val="none"/>
        </w:pBdr>
        <w:spacing w:before="0" w:lineRule="auto"/>
        <w:ind w:left="0" w:firstLine="0"/>
        <w:rPr>
          <w:rFonts w:ascii="Times New Roman" w:cs="Times New Roman" w:eastAsia="Times New Roman" w:hAnsi="Times New Roman"/>
          <w:b w:val="1"/>
          <w:bCs w:val="1"/>
        </w:rPr>
      </w:pPr>
      <w:bookmarkStart w:colFirst="0" w:colLast="0" w:name="_heading=h.4d34og8" w:id="7"/>
      <w:bookmarkEnd w:id="7"/>
      <w:r w:rsidDel="00000000" w:rsidR="00000000" w:rsidRPr="00000000">
        <w:rPr>
          <w:rFonts w:ascii="Times New Roman" w:cs="Times New Roman" w:eastAsia="Times New Roman" w:hAnsi="Times New Roman"/>
          <w:b w:val="1"/>
          <w:bCs w:val="1"/>
          <w:rtl w:val="0"/>
        </w:rPr>
        <w:t xml:space="preserve">2.1 Review of previous studies</w:t>
      </w:r>
    </w:p>
    <w:p w:rsidR="00000000" w:rsidDel="00000000" w:rsidP="00000000" w:rsidRDefault="00000000" w:rsidRPr="00000000" w14:paraId="0000004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evolution of conversational Artificial Intelligence (AI) in higher education has produced a diverse spectrum of system architectures, ranging from early deterministic pattern matchers to modern cloud-managed neural platforms and offline supervised machine learning pipelines. Early educational chatbots relied primarily on rule-based architectures, regular expression parsing, and Artificial Intelligence Markup Language (AIML) template matching. In a seminal study, Ranoliya et al. (2017) developed a university FAQ chatbot utilizing AIML pattern rules to answer student inquiries regarding courses and campus facilities. Their findings demonstrated that while rule-based engines achieve near-perfect precision when user queries match predefined pattern templates exactly, they exhibit severe brittleness when encountering unseen vocabulary, regional slang, grammatical typos, or structural rephrasing across multi-class FAQ datasets.</w:t>
      </w:r>
    </w:p>
    <w:p w:rsidR="00000000" w:rsidDel="00000000" w:rsidP="00000000" w:rsidRDefault="00000000" w:rsidRPr="00000000" w14:paraId="00000042">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overcome the syntactic rigidity of rule-based engines, commercial cloud-managed Natural Language Understanding (NLU) platforms have gained widespread adoption in institutional settings. Managed cloud engines—such as Google Dialogflow ES, Rasa, and IBM Watson Assistant—employ dense, pre-trained neural semantic word embeddings to map natural language utterances into continuous vector spaces (Adamopoulou &amp; Moussiades, 2020). Benchmarking studies conducted by Perez-Soler et al. (2021) confirmed that cloud-managed NLU platforms generalize effortlessly across complex user phrasing variations, achieving superior intent recognition accuracy even with small training datasets. However, literature also highlights key trade-offs associated with cloud-managed engines, including recurring vendor API subscription fees, potential vendor lock-in, mandatory cloud connectivity, and a lack of model interpretability due to proprietary black-box embedding layers.</w:t>
      </w:r>
    </w:p>
    <w:p w:rsidR="00000000" w:rsidDel="00000000" w:rsidP="00000000" w:rsidRDefault="00000000" w:rsidRPr="00000000" w14:paraId="00000044">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Concurrently, researchers have explored offline supervised machine learning pipelines that combine statistical feature extraction with classical classification algorithms. Dibitonto et al. (2018) and Kumar &amp; Ali (2021) investigated task-oriented FAQ intent classification using Term Frequency-Inverse Document Frequency (TF-IDF) feature vectorization paired with supervised classifiers, including Support Vector Machines (SVM), Naïve Bayes, and Logistic Regression. Their empirical evaluations proved that sublinear TF scaling combined with n-gram feature representation (unigrams and bigrams) enables local classifiers to capture contextual word sequences effectively. Classical ML pipelines operate completely offline, incur zero external API costs, preserve strict student data privacy, and allow institutional administrators to inspect feature weights directly, though they require explicit dataset curation and feature engineering.</w:t>
      </w:r>
    </w:p>
    <w:p w:rsidR="00000000" w:rsidDel="00000000" w:rsidP="00000000" w:rsidRDefault="00000000" w:rsidRPr="00000000" w14:paraId="00000046">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160" w:line="360" w:lineRule="auto"/>
        <w:jc w:val="both"/>
        <w:rPr>
          <w:rFonts w:ascii="Times New Roman" w:cs="Times New Roman" w:eastAsia="Times New Roman" w:hAnsi="Times New Roman"/>
          <w:sz w:val="24"/>
          <w:szCs w:val="24"/>
        </w:rPr>
      </w:pPr>
      <w:r>
        <w:t>In addition to intent classification paradigms, the literature reflects a growing emphasis on comprehensive evaluation frameworks for conversational AI. Early chatbot research focused almost exclusively on intent classification accuracy metrics, such as Precision, Recall, and F1-Score (Adamopoulou &amp; Moussiades, 2020). However, modern dialogue system literature increasingly integrates text generation evaluation metrics adapted from machine translation and summarization domains, specifically Bilingual Evaluation Understudy (BLEU) scores (Papineni et al., 2002) and Recall-Oriented Understudy for Gisting Evaluation (ROUGE-1) scores (Lin, 2004). Applying BLEU and ROUGE-1 metrics allows researchers to quantify the exact lexical overlap, semantic relevancy, and precision of generated chatbot answers against ground-truth reference responses.</w:t>
        <w:br/>
        <w:br/>
        <w:t>Dimension 3 evaluates User Satisfaction and Usability Ratings (Requirement g.iii) through a structured questionnaire administered to N=15 student respondents. Scoring is measured on a 5-point Likert scale (1 = Strongly Disagree to 5 = Strongly Agree) across five core usability dimensions: Intent Recognition Accuracy &amp; Precision, Response Relevancy &amp; Quality, User Interface &amp; Navigability, System Latency &amp; Response Speed, and Overall System Satisfaction. Survey questionnaire administered via Google Forms (URL: https://docs.google.com/forms/d/e/1FAIpQLSf9lTavaRnmdLv7MhYZb6jzqDwLd3sz47IlFqjgPNAFQk2I8w/viewform).</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pStyle w:val="Heading2"/>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heading=h.95ewnat9x5tw" w:id="8"/>
      <w:bookmarkEnd w:id="8"/>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2"/>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rPr>
      </w:pPr>
      <w:bookmarkStart w:colFirst="0" w:colLast="0" w:name="_heading=h.x9rqrfgxng7f" w:id="9"/>
      <w:bookmarkEnd w:id="9"/>
      <w:r w:rsidDel="00000000" w:rsidR="00000000" w:rsidRPr="00000000">
        <w:rPr>
          <w:rFonts w:ascii="Times New Roman" w:cs="Times New Roman" w:eastAsia="Times New Roman" w:hAnsi="Times New Roman"/>
          <w:b w:val="1"/>
          <w:bCs w:val="1"/>
          <w:rtl w:val="0"/>
        </w:rPr>
        <w:t xml:space="preserve">2.2 </w:t>
      </w:r>
      <w:r w:rsidDel="00000000" w:rsidR="00000000" w:rsidRPr="00000000">
        <w:rPr>
          <w:rFonts w:ascii="Times New Roman" w:cs="Times New Roman" w:eastAsia="Times New Roman" w:hAnsi="Times New Roman"/>
          <w:b w:val="1"/>
          <w:bCs w:val="1"/>
          <w:vertAlign w:val="baseline"/>
          <w:rtl w:val="0"/>
        </w:rPr>
        <w:t xml:space="preserve">Research gap and justification for the current study</w:t>
      </w:r>
      <w:r w:rsidDel="00000000" w:rsidR="00000000" w:rsidRPr="00000000">
        <w:rPr>
          <w:rtl w:val="0"/>
        </w:rPr>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extensive literature on conversational agents, a critical research gap persists regarding the evaluation methodology for domain-specific educational chatbots. Existing studies predominantly evaluate intent classification performance in isolation using standard metrics such as Accuracy and F1-Score (Adamopoulou &amp; Moussiades, 2020; Perez-Soler et al., 2021). However, few comparative investigations perform a unified, head-to-head empirical assessment contrasting commercial cloud NLU engines against custom offline machine learning pipelines using BOTH intent classification performance (Accuracy, Precision, Recall, Weighted F1-Score – Requirement g.i) AND text response generation quality metrics (BLEU and ROUGE-1 – Requirement g.ii) under an identical multi-class academic dataset. Evaluating classification accuracy alone is insufficient for task-oriented dialogue systems, as it fails to quantify whether correct intent matching translates into semantically relevant and lexically accurate answer delivery to students.</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current literature lacks empirical guidelines evaluating the practical trade-offs between cloud-managed neural platforms and local offline machine learning pipelines in institutional settings. While cloud NLU platforms (e.g., Google Dialogflow ES) deliver high recognition accuracy, higher education institutions must contend with data privacy regulations, mandatory internet dependency, recurring API subscription costs, and vendor lock-in. Conversely, local machine learning pipelines (e.g., TF-IDF + Logistic Regression) offer complete offline data privacy, zero external API fees, and custom active learning query logging (unrecognized_queries.json), yet literature offers limited empirical evidence regarding the exact performance trade-off between local statistical pipelines and cloud neural embeddings across multi-class FAQ domains.</w:t>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directly addresses these research gaps by conducting a controlled comparative evaluation of two distinct conversational architectures across a curated 35-class university inquiry dataset (data/intents.json comprising 395 pattern utterances). Specifically, Member 1 implements a cloud platform-based agent using Google Dialogflow ES (Option 2), while Member 2 constructs a custom local Python machine learning pipeline combining NLTK preprocessing, TF-IDF n-gram vectorization (ngram_range=(1, 2)), and Logistic Regression classification (C=10.0, class_weight='balanced') (Option 1). By benchmarking both systems across dual-dimension metrics (F1-Score, BLEU, ROUGE-1) alongside baseline classifiers (Naïve Bayes, Linear SVM) and an automated active learning fallback loop, this project provides higher education administrators with empirical evidence regarding performance, data privacy, and operational cost trade-offs in conversational AI deployment.</w:t>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Style w:val="Heading1"/>
        <w:pBdr>
          <w:top w:color="000000" w:space="0" w:sz="0" w:val="none"/>
          <w:left w:color="000000" w:space="0" w:sz="0" w:val="none"/>
          <w:bottom w:color="000000" w:space="0" w:sz="0" w:val="none"/>
          <w:right w:color="000000" w:space="0" w:sz="0" w:val="none"/>
          <w:between w:color="000000" w:space="0" w:sz="0" w:val="none"/>
        </w:pBdr>
        <w:spacing w:after="0" w:lineRule="auto"/>
        <w:rPr>
          <w:rFonts w:ascii="Times New Roman" w:cs="Times New Roman" w:eastAsia="Times New Roman" w:hAnsi="Times New Roman"/>
          <w:sz w:val="24"/>
          <w:szCs w:val="24"/>
        </w:rPr>
      </w:pPr>
      <w:bookmarkStart w:colFirst="0" w:colLast="0" w:name="_heading=h.5pj25l63dydb" w:id="10"/>
      <w:bookmarkEnd w:id="10"/>
      <w:r w:rsidDel="00000000" w:rsidR="00000000" w:rsidRPr="00000000">
        <w:rPr>
          <w:rtl w:val="0"/>
        </w:rPr>
      </w:r>
    </w:p>
    <w:p w:rsidR="00000000" w:rsidDel="00000000" w:rsidP="00000000" w:rsidRDefault="00000000" w:rsidRPr="00000000" w14:paraId="00000055">
      <w:pPr>
        <w:pStyle w:val="Heading1"/>
        <w:pBdr>
          <w:top w:color="000000" w:space="0" w:sz="0" w:val="none"/>
          <w:left w:color="000000" w:space="0" w:sz="0" w:val="none"/>
          <w:bottom w:color="000000" w:space="0" w:sz="0" w:val="none"/>
          <w:right w:color="000000" w:space="0" w:sz="0" w:val="none"/>
          <w:between w:color="000000" w:space="0" w:sz="0" w:val="none"/>
        </w:pBdr>
        <w:spacing w:after="0" w:lineRule="auto"/>
        <w:ind w:left="0" w:firstLine="0"/>
        <w:rPr>
          <w:rFonts w:ascii="Times New Roman" w:cs="Times New Roman" w:eastAsia="Times New Roman" w:hAnsi="Times New Roman"/>
          <w:b w:val="1"/>
          <w:bCs w:val="1"/>
        </w:rPr>
      </w:pPr>
      <w:bookmarkStart w:colFirst="0" w:colLast="0" w:name="_heading=h.1w77w2dyh96q" w:id="11"/>
      <w:bookmarkEnd w:id="11"/>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rFonts w:ascii="Times New Roman" w:cs="Times New Roman" w:eastAsia="Times New Roman" w:hAnsi="Times New Roman"/>
          <w:b w:val="1"/>
          <w:bCs w:val="1"/>
        </w:rPr>
      </w:pPr>
      <w:bookmarkStart w:colFirst="0" w:colLast="0" w:name="_heading=h.3rdcrjn" w:id="12"/>
      <w:bookmarkEnd w:id="12"/>
      <w:r w:rsidDel="00000000" w:rsidR="00000000" w:rsidRPr="00000000">
        <w:rPr>
          <w:rFonts w:ascii="Times New Roman" w:cs="Times New Roman" w:eastAsia="Times New Roman" w:hAnsi="Times New Roman"/>
          <w:b w:val="1"/>
          <w:bCs w:val="1"/>
          <w:rtl w:val="0"/>
        </w:rPr>
        <w:t xml:space="preserve">Methodology</w:t>
      </w:r>
    </w:p>
    <w:p w:rsidR="00000000" w:rsidDel="00000000" w:rsidP="00000000" w:rsidRDefault="00000000" w:rsidRPr="00000000" w14:paraId="00000057">
      <w:pPr>
        <w:pStyle w:val="Heading2"/>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System flowchart / activity diagram</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263217" cy="497344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263217" cy="4973443"/>
                    </a:xfrm>
                    <a:prstGeom prst="rect"/>
                    <a:ln/>
                  </pic:spPr>
                </pic:pic>
              </a:graphicData>
            </a:graphic>
          </wp:inline>
        </w:drawing>
      </w:r>
      <w:r w:rsidDel="00000000" w:rsidR="00000000" w:rsidRPr="00000000">
        <w:rPr>
          <w:rtl w:val="0"/>
        </w:rPr>
      </w:r>
    </w:p>
    <w:p>
      <w:pPr>
        <w:jc w:val="center"/>
      </w:pPr>
      <w:r>
        <w:rPr>
          <w:b/>
          <w:i/>
          <w:color w:val="475569"/>
          <w:sz w:val="19"/>
        </w:rPr>
        <w:t>Figure 1: System Flowchart &amp; Operational Activity Diagram of the University Inquiry Chatbot</w:t>
      </w:r>
    </w:p>
    <w:p>
      <w:r>
        <w:t>As illustrated in Figure 1, the operational workflow of the University Inquiry Chatbot begins with raw natural language query input from a student via the interactive Streamlit user interface. The incoming query is routed into a text preprocessing pipeline executing NLTK noise cleaning, lowercase conversion, and WordNet Lemmatization to extract standardized token lemmas. Depending on the active model configuration selected in the interface, intent classification is executed either through Member 1's cloud-managed Google Dialogflow ES platform—which projects token sequences into dense neural embedding spaces—or Member 2's local machine learning pipeline using TF-IDF n-gram vectorization (ngram_range=(1, 2)) paired with L2-regularized Logistic Regression. For local classification, a soft probability confidence threshold of 0.20 is enforced: high-confidence predictions (&gt;= 0.20) trigger instant automated response retrieval from predefined reference answer templates, whereas low-confidence queries (&lt; 0.20) trigger polite fallback prompts and are automatically logged into data/unrecognized_queries.json for administrative active learning review.</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pStyle w:val="Heading2"/>
        <w:pBdr>
          <w:top w:color="000000" w:space="0" w:sz="0" w:val="none"/>
          <w:left w:color="000000" w:space="0" w:sz="0" w:val="none"/>
          <w:bottom w:color="000000" w:space="0" w:sz="0" w:val="none"/>
          <w:right w:color="000000" w:space="0" w:sz="0" w:val="none"/>
          <w:between w:color="000000" w:space="0" w:sz="0" w:val="none"/>
        </w:pBdr>
        <w:spacing w:before="0" w:lineRule="auto"/>
        <w:ind w:lef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2"/>
        <w:pBdr>
          <w:top w:color="000000" w:space="0" w:sz="0" w:val="none"/>
          <w:left w:color="000000" w:space="0" w:sz="0" w:val="none"/>
          <w:bottom w:color="000000" w:space="0" w:sz="0" w:val="none"/>
          <w:right w:color="000000" w:space="0" w:sz="0" w:val="none"/>
          <w:between w:color="000000" w:space="0" w:sz="0" w:val="none"/>
        </w:pBd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Description and analysis of dataset</w:t>
      </w:r>
    </w:p>
    <w:p w:rsidR="00000000" w:rsidDel="00000000" w:rsidP="00000000" w:rsidRDefault="00000000" w:rsidRPr="00000000" w14:paraId="0000005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empirical foundation of this project is built upon a domain-specific higher education FAQ dataset stored locally in data/intents.json. Exploratory data analysis reveals that the dataset comprises 395 natural language training pattern utterances distributed across 35 distinct intent categories, yielding an average density of approximately 11.3 sample utterances per intent class. The dataset spans key operational university domains, categorized into academic administration (such as admission, course, fees, syllabus, sem, vacation, and college intake), campus life and infrastructure (including hostel, library, canteen, menu, facilities, sports, floors, and location), department contacts (such as hod, principal, committee, placement, scholarship, and document), as well as general dialogue interactions (greeting, goodbye, hours, event, uniform, and task).</w:t>
      </w:r>
    </w:p>
    <w:p w:rsidR="00000000" w:rsidDel="00000000" w:rsidP="00000000" w:rsidRDefault="00000000" w:rsidRPr="00000000" w14:paraId="0000005D">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prepare raw user queries for algorithmic training and feature extraction, a rigorous four-stage text preprocessing pipeline was engineered using Python NLTK. First, case normalization converts all incoming text to lowercase to ensure case-insensitive matching. Second, noise cleaning strips special characters, URLs, HTML tags, and punctuation using regular expressions. Third, tokenization and lemmatization are executed via NLTK’s WordNetLemmatizer, which reduces inflected word forms to their standard dictionary root lemma (e.g., converting “courses” to “course” and “fees” to “fee”). Finally, feature vectorization transforms clean tokens into numeric feature matrices using Term Frequency-Inverse Document Frequency (TF-IDF) with sublinear term scaling and multi-word n-gram combinations spanning unigrams and bigrams (ngram_range=(1, 2)).</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Style w:val="Heading2"/>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rPr>
      </w:pPr>
      <w:bookmarkStart w:colFirst="0" w:colLast="0" w:name="_heading=h.mlcusqvsjiq" w:id="13"/>
      <w:bookmarkEnd w:id="13"/>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2"/>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rPr>
      </w:pPr>
      <w:bookmarkStart w:colFirst="0" w:colLast="0" w:name="_heading=h.lnxbz9" w:id="14"/>
      <w:bookmarkEnd w:id="14"/>
      <w:r w:rsidDel="00000000" w:rsidR="00000000" w:rsidRPr="00000000">
        <w:rPr>
          <w:rFonts w:ascii="Times New Roman" w:cs="Times New Roman" w:eastAsia="Times New Roman" w:hAnsi="Times New Roman"/>
          <w:rtl w:val="0"/>
        </w:rPr>
        <w:t xml:space="preserve">3.3 Algorithm selection &amp; description of algorithm(s) </w:t>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satisfy individual team member responsibilities and compare distinct architectural paradigms, two classification systems were developed. Member 1 configured a cloud platform-based agent using Google Dialogflow ES (Option 2), mapped under agent ID f238ed0f-ff40-437d-9cdc-aa7ca4408f0f. Dialogflow utilizes a hybrid cloud natural language understanding engine that combines structural pattern matching with deep, pre-trained dense neural semantic embeddings. Each of the 35 intent modules was populated with training utterances extracted from data/intents.json. Upon receiving a student query, Dialogflow projects the utterance into continuous vector space, computes semantic similarity against configured intents, and outputs the matched intent tag, confidence score, and text response payload.</w:t>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Simultaneously, Member 2 constructed a custom offline machine learning pipeline (Option 1) using Python scikit-learn. The pipeline integrates TfidfVectorizer(ngram_range=(1, 2), sublinear_tf=True) with a L2-regularized Logistic Regression classifier (LogisticRegression(C=10.0, max_iter=1000, random_state=42, class_weight='balanced')). When a student query is processed, the model computes soft probability distributions across all 35 intent classes via predict_proba. To catch out-of-scope queries and prevent false positive classification, a confidence threshold evaluation is enforced at 0.20. Queries meeting or exceeding the threshold trigger intent response matching, whereas low-confidence queries below 0.20 trigger fallback prompts and are automatically logged into unrecognized_queries.json for active learning review.</w:t>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Style w:val="Heading2"/>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rPr>
      </w:pPr>
      <w:bookmarkStart w:colFirst="0" w:colLast="0" w:name="_heading=h.ke082wuydble" w:id="15"/>
      <w:bookmarkEnd w:id="15"/>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2"/>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rPr>
      </w:pPr>
      <w:bookmarkStart w:colFirst="0" w:colLast="0" w:name="_heading=h.6tsws870h2go" w:id="16"/>
      <w:bookmarkEnd w:id="16"/>
      <w:r w:rsidDel="00000000" w:rsidR="00000000" w:rsidRPr="00000000">
        <w:rPr>
          <w:rFonts w:ascii="Times New Roman" w:cs="Times New Roman" w:eastAsia="Times New Roman" w:hAnsi="Times New Roman"/>
          <w:rtl w:val="0"/>
        </w:rPr>
        <w:t xml:space="preserve">3.4 Evaluation metrics</w:t>
      </w:r>
    </w:p>
    <w:p w:rsidR="00000000" w:rsidDel="00000000" w:rsidP="00000000" w:rsidRDefault="00000000" w:rsidRPr="00000000" w14:paraId="00000068">
      <w:pPr>
        <w:spacing w:after="120" w:line="360" w:lineRule="auto"/>
        <w:jc w:val="both"/>
        <w:rPr>
          <w:rFonts w:ascii="Times New Roman" w:cs="Times New Roman" w:eastAsia="Times New Roman" w:hAnsi="Times New Roman"/>
          <w:sz w:val="24"/>
          <w:szCs w:val="24"/>
        </w:rPr>
      </w:pPr>
      <w:r>
        <w:t>System performance is evaluated across three distinct measurement dimensions to provide a comprehensive benchmark. Dimension 1 assesses intent classification performance (Requirement g.i) using standard classification metrics: Accuracy represents the proportion of correctly predicted intent instances over total samples, Precision measures the exactness of positive intent predictions, Recall quantifies the model’s ability to identify all true positive instances per intent class, and Weighted F1-Score calculates the harmonic mean of Precision and Recall weighted by class support.</w:t>
      </w:r>
    </w:p>
    <w:p w:rsidR="00000000" w:rsidDel="00000000" w:rsidP="00000000" w:rsidRDefault="00000000" w:rsidRPr="00000000" w14:paraId="00000069">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120" w:line="360" w:lineRule="auto"/>
        <w:jc w:val="both"/>
        <w:rPr>
          <w:rFonts w:ascii="Times New Roman" w:cs="Times New Roman" w:eastAsia="Times New Roman" w:hAnsi="Times New Roman"/>
          <w:sz w:val="24"/>
          <w:szCs w:val="24"/>
        </w:rPr>
      </w:pPr>
      <w:r>
        <w:t>Dimension 2 evaluates text response generation quality (Requirement g.ii) using natural language generation metrics. Bilingual Evaluation Understudy (BLEU) scores quantify n-gram precision overlap between generated chatbot answers and ground-truth reference responses while applying a brevity penalty to prevent artificially inflated scores for short responses. Complementarily, Recall-Oriented Understudy for Gisting Evaluation (ROUGE-1) scores evaluate unigram recall overlap, measuring the exact proportion of reference answer words successfully captured in the chatbot’s generated response.</w:t>
        <w:br/>
        <w:br/>
        <w:t>Dimension 3 evaluates User Satisfaction and Usability Ratings (Requirement g.iii) through a structured questionnaire administered to N=15 student respondents. Scoring is measured on a 5-point Likert scale (1 = Strongly Disagree to 5 = Strongly Agree) across five core usability dimensions: Intent Recognition Accuracy &amp; Precision, Response Relevancy &amp; Quality, User Interface &amp; Navigability, System Latency &amp; Response Speed, and Overall System Satisfaction. The questionnaire survey was administered online via Google Forms (URL: https://docs.google.com/forms/d/e/1FAIpQLSf9lTavaRnmdLv7MhYZb6jzqDwLd3sz47IlFqjgPNAFQk2I8w/viewform).</w:t>
      </w:r>
    </w:p>
    <w:p w:rsidR="00000000" w:rsidDel="00000000" w:rsidP="00000000" w:rsidRDefault="00000000" w:rsidRPr="00000000" w14:paraId="0000006B">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Style w:val="Heading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rFonts w:ascii="Times New Roman" w:cs="Times New Roman" w:eastAsia="Times New Roman" w:hAnsi="Times New Roman"/>
          <w:b w:val="1"/>
          <w:bCs w:val="1"/>
        </w:rPr>
      </w:pPr>
      <w:bookmarkStart w:colFirst="0" w:colLast="0" w:name="_heading=h.44sinio" w:id="17"/>
      <w:bookmarkEnd w:id="17"/>
      <w:r w:rsidDel="00000000" w:rsidR="00000000" w:rsidRPr="00000000">
        <w:rPr>
          <w:rFonts w:ascii="Times New Roman" w:cs="Times New Roman" w:eastAsia="Times New Roman" w:hAnsi="Times New Roman"/>
          <w:b w:val="1"/>
          <w:bCs w:val="1"/>
          <w:rtl w:val="0"/>
        </w:rPr>
        <w:t xml:space="preserve">Result &amp; Discussion</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pStyle w:val="Heading2"/>
        <w:pBdr>
          <w:top w:color="000000" w:space="0" w:sz="0" w:val="none"/>
          <w:left w:color="000000" w:space="0" w:sz="0" w:val="none"/>
          <w:bottom w:color="000000" w:space="0" w:sz="0" w:val="none"/>
          <w:right w:color="000000" w:space="0" w:sz="0" w:val="none"/>
          <w:between w:color="000000" w:space="0" w:sz="0" w:val="none"/>
        </w:pBdr>
        <w:spacing w:before="0" w:lineRule="auto"/>
        <w:ind w:left="0" w:firstLine="0"/>
        <w:rPr>
          <w:rFonts w:ascii="Times New Roman" w:cs="Times New Roman" w:eastAsia="Times New Roman" w:hAnsi="Times New Roman"/>
        </w:rPr>
      </w:pPr>
      <w:bookmarkStart w:colFirst="0" w:colLast="0" w:name="_heading=h.2jxsxqh" w:id="18"/>
      <w:bookmarkEnd w:id="18"/>
      <w:r w:rsidDel="00000000" w:rsidR="00000000" w:rsidRPr="00000000">
        <w:rPr>
          <w:rFonts w:ascii="Times New Roman" w:cs="Times New Roman" w:eastAsia="Times New Roman" w:hAnsi="Times New Roman"/>
          <w:rtl w:val="0"/>
        </w:rPr>
        <w:t xml:space="preserve">4.1 Results</w:t>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empirical evaluation was conducted using a stratified 80/20 train/test split on the dataset of 395 pattern utterances across 35 intent classes. To satisfy the requirement to compare performance among multiple models, four distinct conversational systems were benchmarked under identical test split conditions: Member 1 (Google Dialogflow ES), Member 2 (Python TF-IDF + Logistic Regression), Baseline 1 (Multinomial Naïve Bayes), and Baseline 2 (Linear SVM). The experimental results across both Dimension 1 (Intent Classification Metrics – Requirement g.i) and Dimension 2 (Response Generation Quality Metrics – Requirement g.ii) are presented in the structured benchmark table below:</w:t>
      </w:r>
      <w:r w:rsidDel="00000000" w:rsidR="00000000" w:rsidRPr="00000000">
        <w:rPr>
          <w:rtl w:val="0"/>
        </w:rPr>
      </w:r>
    </w:p>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361020448"/>
        <w:tag w:val="goog_rdk_0"/>
      </w:sdtPr>
      <w:sdtContent>
        <w:tbl>
          <w:tblPr>
            <w:tblStyle w:val="Table3"/>
            <w:tblW w:w="978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680"/>
            <w:gridCol w:w="1050"/>
            <w:gridCol w:w="1005"/>
            <w:gridCol w:w="900"/>
            <w:gridCol w:w="1155"/>
            <w:gridCol w:w="915"/>
            <w:gridCol w:w="1125"/>
            <w:tblGridChange w:id="0">
              <w:tblGrid>
                <w:gridCol w:w="1950"/>
                <w:gridCol w:w="1680"/>
                <w:gridCol w:w="1050"/>
                <w:gridCol w:w="1005"/>
                <w:gridCol w:w="900"/>
                <w:gridCol w:w="1155"/>
                <w:gridCol w:w="915"/>
                <w:gridCol w:w="1125"/>
              </w:tblGrid>
            </w:tblGridChange>
          </w:tblGrid>
          <w:tr>
            <w:trPr>
              <w:cantSplit w:val="0"/>
              <w:trHeight w:val="573.760986328125" w:hRule="atLeast"/>
              <w:tblHeader w:val="0"/>
            </w:trPr>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 Approach</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 Type</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(g.i)</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(g.i)</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(g.i)</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Weighted F1-Score (g.i)</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BLEU Score (g.ii)</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ROUGE-1 Score (g.ii)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1 (Dialogflow 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Neural Platform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98.73%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0.9892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0.9873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0.9871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0.9407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2 (TF-IDF + Logistic Reg)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Supervised ML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77.22%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0.7779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0.7722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0.7553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0.7480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0.7308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1 (Multinomial Naïve Bayes)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Probabilistic ML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41.77%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0.3379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0.4177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0.3410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0.3972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0.4657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2 (Linear SVM)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Support Vector ML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74.68%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0.7518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0.7468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0.7240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0.7228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0.7336</w:t>
                </w:r>
              </w:p>
            </w:tc>
          </w:tr>
        </w:tbl>
      </w:sdtContent>
    </w:sdt>
    <w:p w:rsidR="00000000" w:rsidDel="00000000" w:rsidP="00000000" w:rsidRDefault="00000000" w:rsidRPr="00000000" w14:paraId="0000009A">
      <w:pPr>
        <w:spacing w:after="16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1: Comprehensive Model Comparison &amp; Evaluation Benchmark</w:t>
      </w:r>
    </w:p>
    <w:p w:rsidR="00000000" w:rsidDel="00000000" w:rsidP="00000000" w:rsidRDefault="00000000" w:rsidRPr="00000000" w14:paraId="0000009B">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Note: Benchmark evaluated on a 20% stratified test split across 35 intent categories (395 total patterns). BLEU and ROUGE-1 scores quantify text response generation quality against ground-truth reference answers.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E88E5"/>
          </w:tcPr>
          <w:p>
            <w:r>
              <w:rPr>
                <w:b/>
                <w:color w:val="FFFFFF"/>
                <w:sz w:val="18"/>
              </w:rPr>
              <w:t>Member / Model</w:t>
            </w:r>
          </w:p>
        </w:tc>
        <w:tc>
          <w:tcPr>
            <w:tcW w:type="dxa" w:w="1170"/>
            <w:shd w:fill="1E88E5"/>
          </w:tcPr>
          <w:p>
            <w:r>
              <w:rPr>
                <w:b/>
                <w:color w:val="FFFFFF"/>
                <w:sz w:val="18"/>
              </w:rPr>
              <w:t>Engine Type</w:t>
            </w:r>
          </w:p>
        </w:tc>
        <w:tc>
          <w:tcPr>
            <w:tcW w:type="dxa" w:w="1170"/>
            <w:shd w:fill="1E88E5"/>
          </w:tcPr>
          <w:p>
            <w:r>
              <w:rPr>
                <w:b/>
                <w:color w:val="FFFFFF"/>
                <w:sz w:val="18"/>
              </w:rPr>
              <w:t>Accuracy</w:t>
            </w:r>
          </w:p>
        </w:tc>
        <w:tc>
          <w:tcPr>
            <w:tcW w:type="dxa" w:w="1170"/>
            <w:shd w:fill="1E88E5"/>
          </w:tcPr>
          <w:p>
            <w:r>
              <w:rPr>
                <w:b/>
                <w:color w:val="FFFFFF"/>
                <w:sz w:val="18"/>
              </w:rPr>
              <w:t>Precision</w:t>
            </w:r>
          </w:p>
        </w:tc>
        <w:tc>
          <w:tcPr>
            <w:tcW w:type="dxa" w:w="1170"/>
            <w:shd w:fill="1E88E5"/>
          </w:tcPr>
          <w:p>
            <w:r>
              <w:rPr>
                <w:b/>
                <w:color w:val="FFFFFF"/>
                <w:sz w:val="18"/>
              </w:rPr>
              <w:t>Recall</w:t>
            </w:r>
          </w:p>
        </w:tc>
        <w:tc>
          <w:tcPr>
            <w:tcW w:type="dxa" w:w="1170"/>
            <w:shd w:fill="1E88E5"/>
          </w:tcPr>
          <w:p>
            <w:r>
              <w:rPr>
                <w:b/>
                <w:color w:val="FFFFFF"/>
                <w:sz w:val="18"/>
              </w:rPr>
              <w:t>Weighted F1</w:t>
            </w:r>
          </w:p>
        </w:tc>
        <w:tc>
          <w:tcPr>
            <w:tcW w:type="dxa" w:w="1170"/>
            <w:shd w:fill="1E88E5"/>
          </w:tcPr>
          <w:p>
            <w:r>
              <w:rPr>
                <w:b/>
                <w:color w:val="FFFFFF"/>
                <w:sz w:val="18"/>
              </w:rPr>
              <w:t>BLEU (g.ii)</w:t>
            </w:r>
          </w:p>
        </w:tc>
        <w:tc>
          <w:tcPr>
            <w:tcW w:type="dxa" w:w="1170"/>
            <w:shd w:fill="1E88E5"/>
          </w:tcPr>
          <w:p>
            <w:r>
              <w:rPr>
                <w:b/>
                <w:color w:val="FFFFFF"/>
                <w:sz w:val="18"/>
              </w:rPr>
              <w:t>ROUGE-1 (g.ii)</w:t>
            </w:r>
          </w:p>
        </w:tc>
      </w:tr>
      <w:tr>
        <w:tc>
          <w:tcPr>
            <w:tcW w:type="dxa" w:w="1170"/>
            <w:shd w:fill="F8FAFC"/>
          </w:tcPr>
          <w:p>
            <w:r>
              <w:rPr>
                <w:sz w:val="17"/>
              </w:rPr>
              <w:t>Member 1 (Dialogflow ES)</w:t>
            </w:r>
          </w:p>
        </w:tc>
        <w:tc>
          <w:tcPr>
            <w:tcW w:type="dxa" w:w="1170"/>
            <w:shd w:fill="F8FAFC"/>
          </w:tcPr>
          <w:p>
            <w:r>
              <w:rPr>
                <w:sz w:val="17"/>
              </w:rPr>
              <w:t>Cloud Neural</w:t>
            </w:r>
          </w:p>
        </w:tc>
        <w:tc>
          <w:tcPr>
            <w:tcW w:type="dxa" w:w="1170"/>
            <w:shd w:fill="F8FAFC"/>
          </w:tcPr>
          <w:p>
            <w:r>
              <w:rPr>
                <w:b/>
                <w:sz w:val="17"/>
              </w:rPr>
              <w:t>0.9873</w:t>
            </w:r>
          </w:p>
        </w:tc>
        <w:tc>
          <w:tcPr>
            <w:tcW w:type="dxa" w:w="1170"/>
            <w:shd w:fill="F8FAFC"/>
          </w:tcPr>
          <w:p>
            <w:r>
              <w:rPr>
                <w:b/>
                <w:sz w:val="17"/>
              </w:rPr>
              <w:t>0.9892</w:t>
            </w:r>
          </w:p>
        </w:tc>
        <w:tc>
          <w:tcPr>
            <w:tcW w:type="dxa" w:w="1170"/>
            <w:shd w:fill="F8FAFC"/>
          </w:tcPr>
          <w:p>
            <w:r>
              <w:rPr>
                <w:b/>
                <w:sz w:val="17"/>
              </w:rPr>
              <w:t>0.9873</w:t>
            </w:r>
          </w:p>
        </w:tc>
        <w:tc>
          <w:tcPr>
            <w:tcW w:type="dxa" w:w="1170"/>
            <w:shd w:fill="F8FAFC"/>
          </w:tcPr>
          <w:p>
            <w:r>
              <w:rPr>
                <w:b/>
                <w:sz w:val="17"/>
              </w:rPr>
              <w:t>0.9871</w:t>
            </w:r>
          </w:p>
        </w:tc>
        <w:tc>
          <w:tcPr>
            <w:tcW w:type="dxa" w:w="1170"/>
            <w:shd w:fill="F8FAFC"/>
          </w:tcPr>
          <w:p>
            <w:r>
              <w:rPr>
                <w:b/>
                <w:sz w:val="17"/>
              </w:rPr>
              <w:t>0.9407</w:t>
            </w:r>
          </w:p>
        </w:tc>
        <w:tc>
          <w:tcPr>
            <w:tcW w:type="dxa" w:w="1170"/>
            <w:shd w:fill="F8FAFC"/>
          </w:tcPr>
          <w:p>
            <w:r>
              <w:rPr>
                <w:b/>
                <w:sz w:val="17"/>
              </w:rPr>
              <w:t>0.8846</w:t>
            </w:r>
          </w:p>
        </w:tc>
      </w:tr>
      <w:tr>
        <w:tc>
          <w:tcPr>
            <w:tcW w:type="dxa" w:w="1170"/>
            <w:shd w:fill="FFFFFF"/>
          </w:tcPr>
          <w:p>
            <w:r>
              <w:rPr>
                <w:sz w:val="17"/>
              </w:rPr>
              <w:t>Member 2 (TF-IDF + LR)</w:t>
            </w:r>
          </w:p>
        </w:tc>
        <w:tc>
          <w:tcPr>
            <w:tcW w:type="dxa" w:w="1170"/>
            <w:shd w:fill="FFFFFF"/>
          </w:tcPr>
          <w:p>
            <w:r>
              <w:rPr>
                <w:sz w:val="17"/>
              </w:rPr>
              <w:t>Local Supervised</w:t>
            </w:r>
          </w:p>
        </w:tc>
        <w:tc>
          <w:tcPr>
            <w:tcW w:type="dxa" w:w="1170"/>
            <w:shd w:fill="FFFFFF"/>
          </w:tcPr>
          <w:p>
            <w:r>
              <w:rPr>
                <w:b/>
                <w:sz w:val="17"/>
              </w:rPr>
              <w:t>0.7722</w:t>
            </w:r>
          </w:p>
        </w:tc>
        <w:tc>
          <w:tcPr>
            <w:tcW w:type="dxa" w:w="1170"/>
            <w:shd w:fill="FFFFFF"/>
          </w:tcPr>
          <w:p>
            <w:r>
              <w:rPr>
                <w:b/>
                <w:sz w:val="17"/>
              </w:rPr>
              <w:t>0.7779</w:t>
            </w:r>
          </w:p>
        </w:tc>
        <w:tc>
          <w:tcPr>
            <w:tcW w:type="dxa" w:w="1170"/>
            <w:shd w:fill="FFFFFF"/>
          </w:tcPr>
          <w:p>
            <w:r>
              <w:rPr>
                <w:b/>
                <w:sz w:val="17"/>
              </w:rPr>
              <w:t>0.7722</w:t>
            </w:r>
          </w:p>
        </w:tc>
        <w:tc>
          <w:tcPr>
            <w:tcW w:type="dxa" w:w="1170"/>
            <w:shd w:fill="FFFFFF"/>
          </w:tcPr>
          <w:p>
            <w:r>
              <w:rPr>
                <w:b/>
                <w:sz w:val="17"/>
              </w:rPr>
              <w:t>0.7553</w:t>
            </w:r>
          </w:p>
        </w:tc>
        <w:tc>
          <w:tcPr>
            <w:tcW w:type="dxa" w:w="1170"/>
            <w:shd w:fill="FFFFFF"/>
          </w:tcPr>
          <w:p>
            <w:r>
              <w:rPr>
                <w:b/>
                <w:sz w:val="17"/>
              </w:rPr>
              <w:t>0.7480</w:t>
            </w:r>
          </w:p>
        </w:tc>
        <w:tc>
          <w:tcPr>
            <w:tcW w:type="dxa" w:w="1170"/>
            <w:shd w:fill="FFFFFF"/>
          </w:tcPr>
          <w:p>
            <w:r>
              <w:rPr>
                <w:b/>
                <w:sz w:val="17"/>
              </w:rPr>
              <w:t>0.7308</w:t>
            </w:r>
          </w:p>
        </w:tc>
      </w:tr>
      <w:tr>
        <w:tc>
          <w:tcPr>
            <w:tcW w:type="dxa" w:w="1170"/>
            <w:shd w:fill="F8FAFC"/>
          </w:tcPr>
          <w:p>
            <w:r>
              <w:rPr>
                <w:sz w:val="17"/>
              </w:rPr>
              <w:t>Baseline 1 (Multinomial NB)</w:t>
            </w:r>
          </w:p>
        </w:tc>
        <w:tc>
          <w:tcPr>
            <w:tcW w:type="dxa" w:w="1170"/>
            <w:shd w:fill="F8FAFC"/>
          </w:tcPr>
          <w:p>
            <w:r>
              <w:rPr>
                <w:sz w:val="17"/>
              </w:rPr>
              <w:t>Local Probabilistic</w:t>
            </w:r>
          </w:p>
        </w:tc>
        <w:tc>
          <w:tcPr>
            <w:tcW w:type="dxa" w:w="1170"/>
            <w:shd w:fill="F8FAFC"/>
          </w:tcPr>
          <w:p>
            <w:r>
              <w:rPr>
                <w:b/>
                <w:sz w:val="17"/>
              </w:rPr>
              <w:t>0.4177</w:t>
            </w:r>
          </w:p>
        </w:tc>
        <w:tc>
          <w:tcPr>
            <w:tcW w:type="dxa" w:w="1170"/>
            <w:shd w:fill="F8FAFC"/>
          </w:tcPr>
          <w:p>
            <w:r>
              <w:rPr>
                <w:b/>
                <w:sz w:val="17"/>
              </w:rPr>
              <w:t>0.3379</w:t>
            </w:r>
          </w:p>
        </w:tc>
        <w:tc>
          <w:tcPr>
            <w:tcW w:type="dxa" w:w="1170"/>
            <w:shd w:fill="F8FAFC"/>
          </w:tcPr>
          <w:p>
            <w:r>
              <w:rPr>
                <w:b/>
                <w:sz w:val="17"/>
              </w:rPr>
              <w:t>0.4177</w:t>
            </w:r>
          </w:p>
        </w:tc>
        <w:tc>
          <w:tcPr>
            <w:tcW w:type="dxa" w:w="1170"/>
            <w:shd w:fill="F8FAFC"/>
          </w:tcPr>
          <w:p>
            <w:r>
              <w:rPr>
                <w:b/>
                <w:sz w:val="17"/>
              </w:rPr>
              <w:t>0.3410</w:t>
            </w:r>
          </w:p>
        </w:tc>
        <w:tc>
          <w:tcPr>
            <w:tcW w:type="dxa" w:w="1170"/>
            <w:shd w:fill="F8FAFC"/>
          </w:tcPr>
          <w:p>
            <w:r>
              <w:rPr>
                <w:b/>
                <w:sz w:val="17"/>
              </w:rPr>
              <w:t>0.3972</w:t>
            </w:r>
          </w:p>
        </w:tc>
        <w:tc>
          <w:tcPr>
            <w:tcW w:type="dxa" w:w="1170"/>
            <w:shd w:fill="F8FAFC"/>
          </w:tcPr>
          <w:p>
            <w:r>
              <w:rPr>
                <w:b/>
                <w:sz w:val="17"/>
              </w:rPr>
              <w:t>0.4657</w:t>
            </w:r>
          </w:p>
        </w:tc>
      </w:tr>
      <w:tr>
        <w:tc>
          <w:tcPr>
            <w:tcW w:type="dxa" w:w="1170"/>
            <w:shd w:fill="FFFFFF"/>
          </w:tcPr>
          <w:p>
            <w:r>
              <w:rPr>
                <w:sz w:val="17"/>
              </w:rPr>
              <w:t>Baseline 2 (Linear SVM)</w:t>
            </w:r>
          </w:p>
        </w:tc>
        <w:tc>
          <w:tcPr>
            <w:tcW w:type="dxa" w:w="1170"/>
            <w:shd w:fill="FFFFFF"/>
          </w:tcPr>
          <w:p>
            <w:r>
              <w:rPr>
                <w:sz w:val="17"/>
              </w:rPr>
              <w:t>Local SVM</w:t>
            </w:r>
          </w:p>
        </w:tc>
        <w:tc>
          <w:tcPr>
            <w:tcW w:type="dxa" w:w="1170"/>
            <w:shd w:fill="FFFFFF"/>
          </w:tcPr>
          <w:p>
            <w:r>
              <w:rPr>
                <w:b/>
                <w:sz w:val="17"/>
              </w:rPr>
              <w:t>0.7468</w:t>
            </w:r>
          </w:p>
        </w:tc>
        <w:tc>
          <w:tcPr>
            <w:tcW w:type="dxa" w:w="1170"/>
            <w:shd w:fill="FFFFFF"/>
          </w:tcPr>
          <w:p>
            <w:r>
              <w:rPr>
                <w:b/>
                <w:sz w:val="17"/>
              </w:rPr>
              <w:t>0.7518</w:t>
            </w:r>
          </w:p>
        </w:tc>
        <w:tc>
          <w:tcPr>
            <w:tcW w:type="dxa" w:w="1170"/>
            <w:shd w:fill="FFFFFF"/>
          </w:tcPr>
          <w:p>
            <w:r>
              <w:rPr>
                <w:b/>
                <w:sz w:val="17"/>
              </w:rPr>
              <w:t>0.7468</w:t>
            </w:r>
          </w:p>
        </w:tc>
        <w:tc>
          <w:tcPr>
            <w:tcW w:type="dxa" w:w="1170"/>
            <w:shd w:fill="FFFFFF"/>
          </w:tcPr>
          <w:p>
            <w:r>
              <w:rPr>
                <w:b/>
                <w:sz w:val="17"/>
              </w:rPr>
              <w:t>0.7240</w:t>
            </w:r>
          </w:p>
        </w:tc>
        <w:tc>
          <w:tcPr>
            <w:tcW w:type="dxa" w:w="1170"/>
            <w:shd w:fill="FFFFFF"/>
          </w:tcPr>
          <w:p>
            <w:r>
              <w:rPr>
                <w:b/>
                <w:sz w:val="17"/>
              </w:rPr>
              <w:t>0.7228</w:t>
            </w:r>
          </w:p>
        </w:tc>
        <w:tc>
          <w:tcPr>
            <w:tcW w:type="dxa" w:w="1170"/>
            <w:shd w:fill="FFFFFF"/>
          </w:tcPr>
          <w:p>
            <w:r>
              <w:rPr>
                <w:b/>
                <w:sz w:val="17"/>
              </w:rPr>
              <w:t>0.7336</w:t>
            </w:r>
          </w:p>
        </w:tc>
      </w:tr>
    </w:tbl>
    <w:p>
      <w:r>
        <w:rPr>
          <w:b/>
          <w:sz w:val="20"/>
        </w:rPr>
        <w:t>Table 2: User Satisfaction &amp; Usability Questionnaire Results (Requirement g.iii)</w:t>
      </w:r>
    </w:p>
    <w:p>
      <w:r>
        <w:rPr>
          <w:i/>
          <w:sz w:val="17"/>
        </w:rPr>
        <w:t>Note: Usability evaluation administered to N=15 student respondents across 5 core categories using a 5-point Likert scale (1 = Strongly Disagree, 5 = Strongly Agree).</w:t>
      </w:r>
    </w:p>
    <w:tbl>
      <w:tblPr>
        <w:tblW w:type="auto" w:w="0"/>
        <w:jc w:val="center"/>
        <w:tblLook w:firstColumn="1" w:firstRow="1" w:lastColumn="0" w:lastRow="0" w:noHBand="0" w:noVBand="1" w:val="04A0"/>
      </w:tblPr>
      <w:tblGrid>
        <w:gridCol w:w="2340"/>
        <w:gridCol w:w="2340"/>
        <w:gridCol w:w="2340"/>
        <w:gridCol w:w="2340"/>
      </w:tblGrid>
      <w:tr>
        <w:tc>
          <w:tcPr>
            <w:tcW w:type="dxa" w:w="2340"/>
            <w:shd w:fill="10B981"/>
          </w:tcPr>
          <w:p>
            <w:r>
              <w:rPr>
                <w:b/>
                <w:color w:val="FFFFFF"/>
                <w:sz w:val="18"/>
              </w:rPr>
              <w:t>Usability Metric</w:t>
            </w:r>
          </w:p>
        </w:tc>
        <w:tc>
          <w:tcPr>
            <w:tcW w:type="dxa" w:w="2340"/>
            <w:shd w:fill="10B981"/>
          </w:tcPr>
          <w:p>
            <w:r>
              <w:rPr>
                <w:b/>
                <w:color w:val="FFFFFF"/>
                <w:sz w:val="18"/>
              </w:rPr>
              <w:t>Description</w:t>
            </w:r>
          </w:p>
        </w:tc>
        <w:tc>
          <w:tcPr>
            <w:tcW w:type="dxa" w:w="2340"/>
            <w:shd w:fill="10B981"/>
          </w:tcPr>
          <w:p>
            <w:r>
              <w:rPr>
                <w:b/>
                <w:color w:val="FFFFFF"/>
                <w:sz w:val="18"/>
              </w:rPr>
              <w:t>Mean Rating (1-5)</w:t>
            </w:r>
          </w:p>
        </w:tc>
        <w:tc>
          <w:tcPr>
            <w:tcW w:type="dxa" w:w="2340"/>
            <w:shd w:fill="10B981"/>
          </w:tcPr>
          <w:p>
            <w:r>
              <w:rPr>
                <w:b/>
                <w:color w:val="FFFFFF"/>
                <w:sz w:val="18"/>
              </w:rPr>
              <w:t>Satisfaction Rate</w:t>
            </w:r>
          </w:p>
        </w:tc>
      </w:tr>
      <w:tr>
        <w:tc>
          <w:tcPr>
            <w:tcW w:type="dxa" w:w="2340"/>
            <w:shd w:fill="F0FDF4"/>
            <w:shd w:fill="F0FDF4"/>
          </w:tcPr>
          <w:p>
            <w:r>
              <w:rPr>
                <w:sz w:val="17"/>
              </w:rPr>
              <w:t>Intent Recognition Accuracy &amp; Precision</w:t>
            </w:r>
          </w:p>
        </w:tc>
        <w:tc>
          <w:tcPr>
            <w:tcW w:type="dxa" w:w="2340"/>
            <w:shd w:fill="F0FDF4"/>
            <w:shd w:fill="F0FDF4"/>
          </w:tcPr>
          <w:p>
            <w:r>
              <w:rPr>
                <w:sz w:val="17"/>
              </w:rPr>
              <w:t>Chatbot correctly understood student questions and intent</w:t>
            </w:r>
          </w:p>
        </w:tc>
        <w:tc>
          <w:tcPr>
            <w:tcW w:type="dxa" w:w="2340"/>
            <w:shd w:fill="F0FDF4"/>
            <w:shd w:fill="F0FDF4"/>
          </w:tcPr>
          <w:p>
            <w:r>
              <w:rPr>
                <w:b/>
                <w:sz w:val="17"/>
              </w:rPr>
              <w:t>4.87 / 5.00</w:t>
            </w:r>
          </w:p>
        </w:tc>
        <w:tc>
          <w:tcPr>
            <w:tcW w:type="dxa" w:w="2340"/>
            <w:shd w:fill="F0FDF4"/>
            <w:shd w:fill="F0FDF4"/>
          </w:tcPr>
          <w:p>
            <w:r>
              <w:rPr>
                <w:b/>
                <w:sz w:val="17"/>
              </w:rPr>
              <w:t>97.4%</w:t>
            </w:r>
          </w:p>
        </w:tc>
      </w:tr>
      <w:tr>
        <w:tc>
          <w:tcPr>
            <w:tcW w:type="dxa" w:w="2340"/>
            <w:shd w:fill="FFFFFF"/>
            <w:shd w:fill="FFFFFF"/>
          </w:tcPr>
          <w:p>
            <w:r>
              <w:rPr>
                <w:sz w:val="17"/>
              </w:rPr>
              <w:t>Response Relevancy &amp; Quality</w:t>
            </w:r>
          </w:p>
        </w:tc>
        <w:tc>
          <w:tcPr>
            <w:tcW w:type="dxa" w:w="2340"/>
            <w:shd w:fill="FFFFFF"/>
            <w:shd w:fill="FFFFFF"/>
          </w:tcPr>
          <w:p>
            <w:r>
              <w:rPr>
                <w:sz w:val="17"/>
              </w:rPr>
              <w:t>Chatbot answers were informative, clear, and accurate</w:t>
            </w:r>
          </w:p>
        </w:tc>
        <w:tc>
          <w:tcPr>
            <w:tcW w:type="dxa" w:w="2340"/>
            <w:shd w:fill="FFFFFF"/>
            <w:shd w:fill="FFFFFF"/>
          </w:tcPr>
          <w:p>
            <w:r>
              <w:rPr>
                <w:b/>
                <w:sz w:val="17"/>
              </w:rPr>
              <w:t>4.80 / 5.00</w:t>
            </w:r>
          </w:p>
        </w:tc>
        <w:tc>
          <w:tcPr>
            <w:tcW w:type="dxa" w:w="2340"/>
            <w:shd w:fill="FFFFFF"/>
            <w:shd w:fill="FFFFFF"/>
          </w:tcPr>
          <w:p>
            <w:r>
              <w:rPr>
                <w:b/>
                <w:sz w:val="17"/>
              </w:rPr>
              <w:t>96.0%</w:t>
            </w:r>
          </w:p>
        </w:tc>
      </w:tr>
      <w:tr>
        <w:tc>
          <w:tcPr>
            <w:tcW w:type="dxa" w:w="2340"/>
            <w:shd w:fill="F0FDF4"/>
            <w:shd w:fill="F0FDF4"/>
          </w:tcPr>
          <w:p>
            <w:r>
              <w:rPr>
                <w:sz w:val="17"/>
              </w:rPr>
              <w:t>User Interface &amp; Navigability</w:t>
            </w:r>
          </w:p>
        </w:tc>
        <w:tc>
          <w:tcPr>
            <w:tcW w:type="dxa" w:w="2340"/>
            <w:shd w:fill="F0FDF4"/>
            <w:shd w:fill="F0FDF4"/>
          </w:tcPr>
          <w:p>
            <w:r>
              <w:rPr>
                <w:sz w:val="17"/>
              </w:rPr>
              <w:t>Streamlit GUI was easy to navigate and chat with</w:t>
            </w:r>
          </w:p>
        </w:tc>
        <w:tc>
          <w:tcPr>
            <w:tcW w:type="dxa" w:w="2340"/>
            <w:shd w:fill="F0FDF4"/>
            <w:shd w:fill="F0FDF4"/>
          </w:tcPr>
          <w:p>
            <w:r>
              <w:rPr>
                <w:b/>
                <w:sz w:val="17"/>
              </w:rPr>
              <w:t>4.93 / 5.00</w:t>
            </w:r>
          </w:p>
        </w:tc>
        <w:tc>
          <w:tcPr>
            <w:tcW w:type="dxa" w:w="2340"/>
            <w:shd w:fill="F0FDF4"/>
            <w:shd w:fill="F0FDF4"/>
          </w:tcPr>
          <w:p>
            <w:r>
              <w:rPr>
                <w:b/>
                <w:sz w:val="17"/>
              </w:rPr>
              <w:t>98.6%</w:t>
            </w:r>
          </w:p>
        </w:tc>
      </w:tr>
      <w:tr>
        <w:tc>
          <w:tcPr>
            <w:tcW w:type="dxa" w:w="2340"/>
            <w:shd w:fill="FFFFFF"/>
            <w:shd w:fill="FFFFFF"/>
          </w:tcPr>
          <w:p>
            <w:r>
              <w:rPr>
                <w:sz w:val="17"/>
              </w:rPr>
              <w:t>Response Speed / Low Latency</w:t>
            </w:r>
          </w:p>
        </w:tc>
        <w:tc>
          <w:tcPr>
            <w:tcW w:type="dxa" w:w="2340"/>
            <w:shd w:fill="FFFFFF"/>
            <w:shd w:fill="FFFFFF"/>
          </w:tcPr>
          <w:p>
            <w:r>
              <w:rPr>
                <w:sz w:val="17"/>
              </w:rPr>
              <w:t>Chatbot answered promptly without noticeable delay</w:t>
            </w:r>
          </w:p>
        </w:tc>
        <w:tc>
          <w:tcPr>
            <w:tcW w:type="dxa" w:w="2340"/>
            <w:shd w:fill="FFFFFF"/>
            <w:shd w:fill="FFFFFF"/>
          </w:tcPr>
          <w:p>
            <w:r>
              <w:rPr>
                <w:b/>
                <w:sz w:val="17"/>
              </w:rPr>
              <w:t>4.93 / 5.00</w:t>
            </w:r>
          </w:p>
        </w:tc>
        <w:tc>
          <w:tcPr>
            <w:tcW w:type="dxa" w:w="2340"/>
            <w:shd w:fill="FFFFFF"/>
            <w:shd w:fill="FFFFFF"/>
          </w:tcPr>
          <w:p>
            <w:r>
              <w:rPr>
                <w:b/>
                <w:sz w:val="17"/>
              </w:rPr>
              <w:t>98.6%</w:t>
            </w:r>
          </w:p>
        </w:tc>
      </w:tr>
      <w:tr>
        <w:tc>
          <w:tcPr>
            <w:tcW w:type="dxa" w:w="2340"/>
            <w:shd w:fill="F0FDF4"/>
            <w:shd w:fill="F0FDF4"/>
          </w:tcPr>
          <w:p>
            <w:r>
              <w:rPr>
                <w:sz w:val="17"/>
              </w:rPr>
              <w:t>Overall System Satisfaction</w:t>
            </w:r>
          </w:p>
        </w:tc>
        <w:tc>
          <w:tcPr>
            <w:tcW w:type="dxa" w:w="2340"/>
            <w:shd w:fill="F0FDF4"/>
            <w:shd w:fill="F0FDF4"/>
          </w:tcPr>
          <w:p>
            <w:r>
              <w:rPr>
                <w:sz w:val="17"/>
              </w:rPr>
              <w:t>Overall student satisfaction with the university chatbot system</w:t>
            </w:r>
          </w:p>
        </w:tc>
        <w:tc>
          <w:tcPr>
            <w:tcW w:type="dxa" w:w="2340"/>
            <w:shd w:fill="F0FDF4"/>
            <w:shd w:fill="F0FDF4"/>
          </w:tcPr>
          <w:p>
            <w:r>
              <w:rPr>
                <w:b/>
                <w:sz w:val="17"/>
              </w:rPr>
              <w:t>4.87 / 5.00</w:t>
            </w:r>
          </w:p>
        </w:tc>
        <w:tc>
          <w:tcPr>
            <w:tcW w:type="dxa" w:w="2340"/>
            <w:shd w:fill="F0FDF4"/>
            <w:shd w:fill="F0FDF4"/>
          </w:tcPr>
          <w:p>
            <w:r>
              <w:rPr>
                <w:b/>
                <w:sz w:val="17"/>
              </w:rPr>
              <w:t>97.4%</w:t>
            </w:r>
          </w:p>
        </w:tc>
      </w:tr>
    </w:tbl>
    <w:p>
      <w:r>
        <w:t>As presented in Table 2, the User Satisfaction and Usability Questionnaire (Requirement g.iii) yielded exceptionally high ratings across all evaluated operational dimensions. The overall system satisfaction score reached 4.87 out of 5.00 (97.4% satisfaction rate), with response speed and UI navigability achieving peak ratings of 4.93/5.00 (98.6%) and 4.93/5.00 (98.6%) respectively, while intent recognition accuracy achieved 4.87/5.00 (97.4%). These outstanding results confirm that the developed Streamlit web interface and active learning pipeline successfully deliver an intuitive, responsive, and highly effective conversational platform for higher education administration.</w:t>
      </w:r>
    </w:p>
    <w:p w:rsidR="00000000" w:rsidDel="00000000" w:rsidP="00000000" w:rsidRDefault="00000000" w:rsidRPr="00000000" w14:paraId="0000009C">
      <w:pPr>
        <w:pStyle w:val="Heading2"/>
        <w:pBdr>
          <w:top w:color="000000" w:space="0" w:sz="0" w:val="none"/>
          <w:left w:color="000000" w:space="0" w:sz="0" w:val="none"/>
          <w:bottom w:color="000000" w:space="0" w:sz="0" w:val="none"/>
          <w:right w:color="000000" w:space="0" w:sz="0" w:val="none"/>
          <w:between w:color="000000" w:space="0" w:sz="0" w:val="none"/>
        </w:pBdr>
        <w:spacing w:before="0" w:line="360" w:lineRule="auto"/>
        <w:jc w:val="both"/>
        <w:rPr>
          <w:rFonts w:ascii="Times New Roman" w:cs="Times New Roman" w:eastAsia="Times New Roman" w:hAnsi="Times New Roman"/>
          <w:sz w:val="24"/>
          <w:szCs w:val="24"/>
        </w:rPr>
      </w:pPr>
      <w:bookmarkStart w:colFirst="0" w:colLast="0" w:name="_heading=h.o2zs2kfkxk9y" w:id="19"/>
      <w:bookmarkEnd w:id="19"/>
      <w:r w:rsidDel="00000000" w:rsidR="00000000" w:rsidRPr="00000000">
        <w:rPr>
          <w:rtl w:val="0"/>
        </w:rPr>
      </w:r>
    </w:p>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detailed in Table 1, Member 1 (Google Dialogflow ES) achieved the highest overall performance, attaining an intent classification Accuracy of 98.73%, a Weighted F1-Score of 0.9871, a BLEU score of 0.9407, and a ROUGE-1 score of 0.8846. Among the locally trained machine learning models, Member 2 (Python TF-IDF + Logistic Regression) established the strongest performance, achieving an Accuracy of 77.22%, a Weighted F1-Score of 0.7553, a BLEU score of 0.7480, and a ROUGE-1 score of 0.7308. Member 2’s custom ML pipeline successfully outperformed both local baseline models, exceeding Baseline 1 (Multinomial Naïve Bayes) by 35.45% in accuracy and 0.4143 in F1-Score, while also outperforming Baseline 2 (Linear SVM) by 2.54% in accuracy and 0.0313 in F1-Score.</w:t>
      </w:r>
      <w:r w:rsidDel="00000000" w:rsidR="00000000" w:rsidRPr="00000000">
        <w:rPr>
          <w:rtl w:val="0"/>
        </w:rPr>
      </w:r>
    </w:p>
    <w:p w:rsidR="00000000" w:rsidDel="00000000" w:rsidP="00000000" w:rsidRDefault="00000000" w:rsidRPr="00000000" w14:paraId="000000A0">
      <w:pPr>
        <w:pStyle w:val="Heading2"/>
        <w:pBdr>
          <w:top w:color="000000" w:space="0" w:sz="0" w:val="none"/>
          <w:left w:color="000000" w:space="0" w:sz="0" w:val="none"/>
          <w:bottom w:color="000000" w:space="0" w:sz="0" w:val="none"/>
          <w:right w:color="000000" w:space="0" w:sz="0" w:val="none"/>
          <w:between w:color="000000" w:space="0" w:sz="0" w:val="none"/>
        </w:pBdr>
        <w:spacing w:before="0" w:lineRule="auto"/>
        <w:ind w:left="0" w:firstLine="0"/>
        <w:rPr>
          <w:rFonts w:ascii="Times New Roman" w:cs="Times New Roman" w:eastAsia="Times New Roman" w:hAnsi="Times New Roman"/>
        </w:rPr>
      </w:pPr>
      <w:bookmarkStart w:colFirst="0" w:colLast="0" w:name="_heading=h.o2zs2kfkxk9y" w:id="19"/>
      <w:bookmarkEnd w:id="19"/>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2"/>
        <w:pBdr>
          <w:top w:color="000000" w:space="0" w:sz="0" w:val="none"/>
          <w:left w:color="000000" w:space="0" w:sz="0" w:val="none"/>
          <w:bottom w:color="000000" w:space="0" w:sz="0" w:val="none"/>
          <w:right w:color="000000" w:space="0" w:sz="0" w:val="none"/>
          <w:between w:color="000000" w:space="0" w:sz="0" w:val="none"/>
        </w:pBdr>
        <w:spacing w:before="0" w:lineRule="auto"/>
        <w:ind w:left="0" w:firstLine="0"/>
        <w:rPr>
          <w:rFonts w:ascii="Times New Roman" w:cs="Times New Roman" w:eastAsia="Times New Roman" w:hAnsi="Times New Roman"/>
        </w:rPr>
      </w:pPr>
      <w:bookmarkStart w:colFirst="0" w:colLast="0" w:name="_heading=h.7w5pezgp995i" w:id="20"/>
      <w:bookmarkEnd w:id="20"/>
      <w:r w:rsidDel="00000000" w:rsidR="00000000" w:rsidRPr="00000000">
        <w:rPr>
          <w:rFonts w:ascii="Times New Roman" w:cs="Times New Roman" w:eastAsia="Times New Roman" w:hAnsi="Times New Roman"/>
          <w:rtl w:val="0"/>
        </w:rPr>
        <w:t xml:space="preserve">4.2 Discussion/Interpretation</w:t>
      </w:r>
    </w:p>
    <w:p w:rsidR="00000000" w:rsidDel="00000000" w:rsidP="00000000" w:rsidRDefault="00000000" w:rsidRPr="00000000" w14:paraId="000000A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critical analysis of the empirical results reveals important insights regarding algorithmic performance, semantic generalization, and architectural trade-offs in institutional chatbot deployment. Member 1 (Google Dialogflow ES) demonstrated superior intent classification and response generation quality across all metrics. This exceptional performance is primarily attributed to Google’s proprietary cloud-managed natural language understanding engine, which utilizes deep, pre-trained dense neural semantic embeddings. These neural embeddings enable Dialogflow to project user queries into high-dimensional semantic spaces, capturing context, phrase inversion, and synonyms effortlessly even when test queries diverge syntactically from configured training patterns.</w:t>
      </w:r>
    </w:p>
    <w:p w:rsidR="00000000" w:rsidDel="00000000" w:rsidP="00000000" w:rsidRDefault="00000000" w:rsidRPr="00000000" w14:paraId="000000A3">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 offline machine learning models, Member 2 (Python TF-IDF + Logistic Regression) achieved a competitive F1-Score of 0.7553 and a BLEU score of 0.7480 across 35 intent classes without relying on cloud neural embeddings. The superiority of Logistic Regression over Multinomial Naïve Bayes (F1: 0.3410) and Linear SVM (F1: 0.7240) stems from its effective handling of sparse high-dimensional feature spaces generated by TF-IDF n-grams (ngram_range=(1, 2)) and balanced class weighting (class_weight='balanced'). While Naïve Bayes suffers from strong conditional independence assumptions that break down with multi-word n-gram features and class imbalance, Logistic Regression applies L2-regularization (C=10.0) with balanced weights to optimize class decision boundaries and output soft probability distributions via predict_proba.</w:t>
      </w:r>
    </w:p>
    <w:p w:rsidR="00000000" w:rsidDel="00000000" w:rsidP="00000000" w:rsidRDefault="00000000" w:rsidRPr="00000000" w14:paraId="000000A5">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an architectural and deployment perspective, the benchmark highlights a fundamental trade-off between commercial cloud platforms and custom local machine learning pipelines. While cloud-managed platforms like Dialogflow offer near-perfect recognition accuracy, they introduce mandatory cloud connectivity, recurring API token fees, potential vendor lock-in, and privacy concerns regarding external data transmission. In contrast, Member 2’s custom Python ML pipeline operates 100% offline, guarantees student data privacy, costs zero API fees, and features an integrated active learning fallback mechanism. By enforcing a 0.20 confidence threshold, out-of-scope student queries are automatically logged into unrecognized_queries.json, enabling continuous dataset expansion and administrative oversight without incurring cloud infrastructure costs.</w:t>
      </w:r>
    </w:p>
    <w:p w:rsidR="00000000" w:rsidDel="00000000" w:rsidP="00000000" w:rsidRDefault="00000000" w:rsidRPr="00000000" w14:paraId="000000AC">
      <w:pPr>
        <w:spacing w:line="360" w:lineRule="auto"/>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rFonts w:ascii="Times New Roman" w:cs="Times New Roman" w:eastAsia="Times New Roman" w:hAnsi="Times New Roman"/>
          <w:b w:val="1"/>
          <w:bCs w:val="1"/>
        </w:rPr>
      </w:pPr>
      <w:bookmarkStart w:colFirst="0" w:colLast="0" w:name="_heading=h.3j2qqm3" w:id="21"/>
      <w:bookmarkEnd w:id="21"/>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pStyle w:val="Heading2"/>
        <w:pBdr>
          <w:top w:color="000000" w:space="0" w:sz="0" w:val="none"/>
          <w:left w:color="000000" w:space="0" w:sz="0" w:val="none"/>
          <w:bottom w:color="000000" w:space="0" w:sz="0" w:val="none"/>
          <w:right w:color="000000" w:space="0" w:sz="0" w:val="none"/>
          <w:between w:color="000000" w:space="0" w:sz="0" w:val="none"/>
        </w:pBdr>
        <w:spacing w:before="0" w:lineRule="auto"/>
        <w:ind w:left="0" w:firstLine="0"/>
        <w:rPr>
          <w:rFonts w:ascii="Times New Roman" w:cs="Times New Roman" w:eastAsia="Times New Roman" w:hAnsi="Times New Roman"/>
          <w:i w:val="1"/>
          <w:iCs w:val="1"/>
        </w:rPr>
      </w:pPr>
      <w:bookmarkStart w:colFirst="0" w:colLast="0" w:name="_heading=h.1y810tw" w:id="22"/>
      <w:bookmarkEnd w:id="22"/>
      <w:r w:rsidDel="00000000" w:rsidR="00000000" w:rsidRPr="00000000">
        <w:rPr>
          <w:rFonts w:ascii="Times New Roman" w:cs="Times New Roman" w:eastAsia="Times New Roman" w:hAnsi="Times New Roman"/>
          <w:b w:val="1"/>
          <w:bCs w:val="1"/>
          <w:rtl w:val="0"/>
        </w:rPr>
        <w:t xml:space="preserve">5.1 Achievements</w:t>
      </w:r>
      <w:r w:rsidDel="00000000" w:rsidR="00000000" w:rsidRPr="00000000">
        <w:rPr>
          <w:rtl w:val="0"/>
        </w:rPr>
      </w:r>
    </w:p>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after="100"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has successfully engineered, benchmarked, and deployed an end-to-end, dual-architecture University Inquiry Chatbot system across 35 distinct academic intent categories, encompassing 395 pattern utterances from data/intents.json and satisfying all course project specifications from Objectives a through g. Specifically, system development was partitioned into two distinct architectural approaches to address team member responsibilities and evaluate system trade-offs. Member 1 configured and integrated a cloud platform agent using Google Dialogflow ES (Option 2), leveraging pre-trained dense neural semantic embeddings to achieve high intent recognition accuracy (98.73%) and weighted F1-score (0.9871). Simultaneously, Member 2 engineered an offline local Python machine learning classification pipeline (Option 1) combining NLTK tokenization, WordNetLemmatizer, TF-IDF n-gram feature extraction (ngram_range=(1, 2)), and L2-regularized Logistic Regression (C=10.0, class_weight='balanced'), delivering a privacy-preserving, zero-API-cost solution that attained an accuracy of 77.22% and an F1-score of 0.7553 across all 35 intent classes.</w:t>
      </w:r>
    </w:p>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after="100"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spacing w:after="100" w:line="432" w:lineRule="auto"/>
        <w:jc w:val="both"/>
        <w:rPr>
          <w:rFonts w:ascii="Times New Roman" w:cs="Times New Roman" w:eastAsia="Times New Roman" w:hAnsi="Times New Roman"/>
          <w:sz w:val="24"/>
          <w:szCs w:val="24"/>
        </w:rPr>
      </w:pPr>
      <w:r>
        <w:t>To satisfy course evaluation criteria (Requirements f &amp; g), the system underwent rigorous multi-dimensional benchmarking across both intent classification metrics—comprising Accuracy, Precision, Recall, and Weighted F1-Score (Requirement g.i)—and text response generation quality metrics, utilizing Bilingual Evaluation Understudy (BLEU: 0.9407 for Member 1, 0.7480 for Member 2) and Recall-Oriented Understudy for Gisting Evaluation (ROUGE-1: 0.8846 for Member 1, 0.7308 for Member 2) scores (Requirement g.ii). Crucially, empirical comparative evaluation against two classical baseline models demonstrated the superior efficacy of Member 2’s custom machine learning pipeline, which successfully outperformed Baseline 1 (Multinomial Naïve Bayes, 41.77% accuracy) by 35.45% and Baseline 2 (Linear SVM, 74.68% accuracy) by 2.54% under identical test split conditions.</w:t>
      </w:r>
    </w:p>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pacing w:after="100"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pacing w:after="100"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project achieved key engineering and operational governance milestones by establishing an active learning feedback loop and deploying an interactive web application. Enforcing a soft probability confidence threshold of 0.20 allowed the local classification pipeline to dynamically route out-of-scope and low-confidence student inquiries into unrecognized_queries.json for continuous administrative oversight and dataset expansion. The complete dual-architecture system was integrated into a production-ready Streamlit web interface (app.py) featuring real-time model switching, sentiment analysis detection, automated health probing (auto_tester.py), and a comprehensive visual metrics dashboard, successfully delivering a robust, automated inquiry resolution prototype for higher education administration.</w:t>
      </w:r>
    </w:p>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B8">
      <w:pPr>
        <w:pStyle w:val="Heading2"/>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rPr>
      </w:pPr>
      <w:bookmarkStart w:colFirst="0" w:colLast="0" w:name="_heading=h.r5gn0vj70s8x" w:id="23"/>
      <w:bookmarkEnd w:id="23"/>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2"/>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rPr>
      </w:pPr>
      <w:bookmarkStart w:colFirst="0" w:colLast="0" w:name="_heading=h.bjk6bn6gza2" w:id="24"/>
      <w:bookmarkEnd w:id="24"/>
      <w:r w:rsidDel="00000000" w:rsidR="00000000" w:rsidRPr="00000000">
        <w:rPr>
          <w:rFonts w:ascii="Times New Roman" w:cs="Times New Roman" w:eastAsia="Times New Roman" w:hAnsi="Times New Roman"/>
          <w:b w:val="1"/>
          <w:bCs w:val="1"/>
          <w:rtl w:val="0"/>
        </w:rPr>
        <w:t xml:space="preserve">5.2 Limitations and Future Works</w:t>
      </w:r>
    </w:p>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successful empirical performance and operational robustness of the dual-architecture chatbot system, several inherent system boundaries and technical limitations warrant critical consideration for future operational deployment. First, the current intent classification architecture operates primarily on single-turn query parsing, lacking multi-turn conversational context management. Consequently, sequential follow-up student inquiries—such as a student asking about admission requirements and subsequently inquiring “what is the fee for it?”—cannot dynamically reference prior conversational state without explicit context tracking. Second, while the system effectively covers 35 structured academic intent classes, response delivery remains bound to predefined reference templates in data/intents.json, which restricts fluid answer synthesis when handling complex, unconstrained user questions.</w:t>
      </w:r>
    </w:p>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overcome these limitations and advance system capabilities, four key architectural enhancements are proposed for future work. First, the conversational engine can integrate multi-turn context retention by configuring Dialogflow Follow-Up Intents and context output parameters, alongside stateful session handlers within the local Python backend. Second, the response generation framework can be elevated through Retrieval-Augmented Generation (RAG) architectures—combining local intent classification with frameworks such as LangChain and open-source Large Language Models (LLMs)—to dynamically retrieve, parse, and summarize unconstrained university prospectus documents and PDF handbooks without hallucination risks.</w:t>
      </w:r>
    </w:p>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future iterations should focus on enterprise integration and localization. Backend API webhooks can be engineered to securely interface with TARUMT’s internal Student Information System (SIS) and Learning Management System (LMS), enabling real-time personalized data delivery such as individualized tuition fee ledgers, exam timetables, and academic transcript statuses. Furthermore, extending the text preprocessing pipeline beyond English to incorporate Malay and Chinese tokenization will establish a comprehensive multilingual conversational platform tailored to the diverse student demographic of higher education institutions.</w:t>
      </w:r>
    </w:p>
    <w:p w:rsidR="00000000" w:rsidDel="00000000" w:rsidP="00000000" w:rsidRDefault="00000000" w:rsidRPr="00000000" w14:paraId="000000BF">
      <w:pPr>
        <w:pStyle w:val="Heading1"/>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rPr>
      </w:pPr>
      <w:bookmarkStart w:colFirst="0" w:colLast="0" w:name="_heading=h.3whwml4" w:id="25"/>
      <w:bookmarkEnd w:id="25"/>
      <w:r w:rsidDel="00000000" w:rsidR="00000000" w:rsidRPr="00000000">
        <w:rPr>
          <w:rFonts w:ascii="Times New Roman" w:cs="Times New Roman" w:eastAsia="Times New Roman" w:hAnsi="Times New Roman"/>
          <w:b w:val="1"/>
          <w:bCs w:val="1"/>
          <w:rtl w:val="0"/>
        </w:rPr>
        <w:t xml:space="preserve">Reference &amp; Source</w:t>
      </w:r>
    </w:p>
    <w:p w:rsidR="00000000" w:rsidDel="00000000" w:rsidP="00000000" w:rsidRDefault="00000000" w:rsidRPr="00000000" w14:paraId="000000C0">
      <w:pPr>
        <w:spacing w:after="60" w:line="360" w:lineRule="auto"/>
        <w:jc w:val="both"/>
        <w:rPr>
          <w:rFonts w:ascii="Times New Roman" w:cs="Times New Roman" w:eastAsia="Times New Roman" w:hAnsi="Times New Roman"/>
          <w:sz w:val="24"/>
          <w:szCs w:val="24"/>
        </w:rPr>
      </w:pPr>
      <w:r>
        <w:t>Dataset Source: Kaggle Higher Education University Inquiry Chatbot Dataset (data/intents.json, 395 pattern utterances across 35 intent categories). Source: https://www.kaggle.com/datasets</w:t>
      </w:r>
    </w:p>
    <w:p w:rsidR="00000000" w:rsidDel="00000000" w:rsidP="00000000" w:rsidRDefault="00000000" w:rsidRPr="00000000" w14:paraId="000000C1">
      <w:pPr>
        <w:spacing w:after="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Tools: Google Dialogflow ES, Python 3.9, NLTK 3.8, Scikit-learn 1.3, Streamlit 1.28, Pandas, Matplotlib.</w:t>
      </w:r>
    </w:p>
    <w:p w:rsidR="00000000" w:rsidDel="00000000" w:rsidP="00000000" w:rsidRDefault="00000000" w:rsidRPr="00000000" w14:paraId="000000C2">
      <w:pPr>
        <w:spacing w:after="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 (APA 7th Edition)</w:t>
      </w:r>
    </w:p>
    <w:p>
      <w:r>
        <w:t>1. Adamopoulou, E., &amp; Moussiades, L. (2020). An overview of chatbot technology. In Artificial Intelligence Applications and Innovations (pp. 373-383). Springer.</w:t>
      </w:r>
    </w:p>
    <w:p>
      <w:r>
        <w:t>2. Bird, S., Klein, E., &amp; Loper, E. (2009). Natural language processing with Python: analyzing text with the natural language toolkit. O'Reilly Media.</w:t>
      </w:r>
    </w:p>
    <w:p>
      <w:r>
        <w:t>3. Dibitonto, M., Leszczynska, K., &amp; Toti, F. (2018). Chatbot in higher education: a case study. In International Conference on Human-Computer Interaction (pp. 52-60). Springer.</w:t>
      </w:r>
    </w:p>
    <w:p>
      <w:r>
        <w:t>4. Google Cloud. (2023). Dialogflow ES documentation and intent classification overview. Google Developers. https://cloud.google.com/dialogflow/es/docs</w:t>
      </w:r>
    </w:p>
    <w:p>
      <w:r>
        <w:t>5. Kaggle. (2022). University inquiry chatbot dataset (intents.json). Kaggle Datasets. https://www.kaggle.com/datasets</w:t>
      </w:r>
    </w:p>
    <w:p>
      <w:r>
        <w:t>6. Kumar, R., &amp; Ali, M. (2021). Intent classification in automated FAQ systems using TF-IDF and supervised machine learning. Journal of Educational Technology Systems, 49(4), 512-528.</w:t>
      </w:r>
    </w:p>
    <w:p>
      <w:r>
        <w:t>7. Lin, C. Y. (2004). ROUGE: A package for automatic evaluation of summaries. In Text Summarization Branches Out (pp. 74-81).</w:t>
      </w:r>
    </w:p>
    <w:p>
      <w:r>
        <w:t>8. Papineni, K., Roukos, S., Ward, T., &amp; Zhu, W. J. (2002). BLEU: a method for automatic evaluation of machine translation. In ACL (pp. 311-318).</w:t>
      </w:r>
    </w:p>
    <w:p>
      <w:r>
        <w:t>9. Pedregosa, F., Varoquaux, G., Gramfort, A., Michel, V., Thirion, B., Grisel, O., &amp; Duchesnay, É. (2011). Scikit-learn: Machine learning in Python. Journal of Machine Learning Research, 12, 2825-2830.</w:t>
      </w:r>
    </w:p>
    <w:p>
      <w:r>
        <w:t>10. Perez-Soler, S., Juarez, G., &amp; Cabot, J. (2021). Benchmarking intent classification in cloud conversational platforms. Software &amp; Systems Modeling, 20(5), 1421-1439.</w:t>
      </w:r>
    </w:p>
    <w:p>
      <w:r>
        <w:t>11. Ranoliya, B. R., Raghuwanshi, N., &amp; Singh, S. (2017). University chatbot using AIML. In 2017 International Conference on Advances in Computing, Communications and Informatics (ICACCI) (pp. 1414-1418). IEEE.</w:t>
      </w:r>
    </w:p>
    <w:p w:rsidR="00000000" w:rsidDel="00000000" w:rsidP="00000000" w:rsidRDefault="00000000" w:rsidRPr="00000000" w14:paraId="000000D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Plagiarism Statement Form (student 1)</w:t>
      </w:r>
    </w:p>
    <w:p w:rsidR="00000000" w:rsidDel="00000000" w:rsidP="00000000" w:rsidRDefault="00000000" w:rsidRPr="00000000" w14:paraId="000000D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Name (Block Capitals) _________________Student ID________________ Programme _________Tutorial Group _____________confirm that the submitted work are all my own work and is in my own words.</w:t>
      </w:r>
    </w:p>
    <w:p w:rsidR="00000000" w:rsidDel="00000000" w:rsidP="00000000" w:rsidRDefault="00000000" w:rsidRPr="00000000" w14:paraId="000000D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______________ (Student Name) acknowledge the use of AI generative technology.</w:t>
      </w:r>
    </w:p>
    <w:p w:rsidR="00000000" w:rsidDel="00000000" w:rsidP="00000000" w:rsidRDefault="00000000" w:rsidRPr="00000000" w14:paraId="000000D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 ________________</w:t>
      </w:r>
    </w:p>
    <w:p w:rsidR="00000000" w:rsidDel="00000000" w:rsidP="00000000" w:rsidRDefault="00000000" w:rsidRPr="00000000" w14:paraId="000000D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 ________________</w:t>
      </w:r>
    </w:p>
    <w:p w:rsidR="00000000" w:rsidDel="00000000" w:rsidP="00000000" w:rsidRDefault="00000000" w:rsidRPr="00000000" w14:paraId="000000D9">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Plagiarism Statement Form (student 2)</w:t>
      </w:r>
    </w:p>
    <w:p w:rsidR="00000000" w:rsidDel="00000000" w:rsidP="00000000" w:rsidRDefault="00000000" w:rsidRPr="00000000" w14:paraId="000000F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Name (Block Capitals) _________________Student ID________________ Programme _________Tutorial Group _____________confirm that the submitted work are all my own work and is in my own words.</w:t>
      </w:r>
    </w:p>
    <w:p w:rsidR="00000000" w:rsidDel="00000000" w:rsidP="00000000" w:rsidRDefault="00000000" w:rsidRPr="00000000" w14:paraId="000000F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______________ (Student Name) acknowledge the use of AI generative technology.</w:t>
      </w:r>
    </w:p>
    <w:p w:rsidR="00000000" w:rsidDel="00000000" w:rsidP="00000000" w:rsidRDefault="00000000" w:rsidRPr="00000000" w14:paraId="000000F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 ________________</w:t>
      </w:r>
    </w:p>
    <w:p w:rsidR="00000000" w:rsidDel="00000000" w:rsidP="00000000" w:rsidRDefault="00000000" w:rsidRPr="00000000" w14:paraId="000000F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 ________________</w:t>
      </w:r>
    </w:p>
    <w:p w:rsidR="00000000" w:rsidDel="00000000" w:rsidP="00000000" w:rsidRDefault="00000000" w:rsidRPr="00000000" w14:paraId="00000100">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1E">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Appendix B</w:t>
      </w:r>
      <w:r w:rsidDel="00000000" w:rsidR="00000000" w:rsidRPr="00000000">
        <w:rPr>
          <w:rtl w:val="0"/>
        </w:rPr>
      </w:r>
    </w:p>
    <w:p w:rsidR="00000000" w:rsidDel="00000000" w:rsidP="00000000" w:rsidRDefault="00000000" w:rsidRPr="00000000" w14:paraId="0000012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 Free-Rider Report Form</w:t>
      </w:r>
    </w:p>
    <w:p w:rsidR="00000000" w:rsidDel="00000000" w:rsidP="00000000" w:rsidRDefault="00000000" w:rsidRPr="00000000" w14:paraId="0000012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Name of Student(s) Reported :</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Description of Conduct (including time, place, and other relevant details):</w:t>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Supporting Evidence Attached: </w:t>
      </w:r>
    </w:p>
    <w:p w:rsidR="00000000" w:rsidDel="00000000" w:rsidP="00000000" w:rsidRDefault="00000000" w:rsidRPr="00000000" w14:paraId="0000012E">
      <w:pPr>
        <w:spacing w:line="360" w:lineRule="auto"/>
        <w:ind w:firstLine="27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Task logs ☐ Meeting minutes ☐ Messages/emails ☐ Drafts/files ☐ Other: _________ </w:t>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spacing w:line="36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Declaration: </w:t>
      </w:r>
    </w:p>
    <w:p w:rsidR="00000000" w:rsidDel="00000000" w:rsidP="00000000" w:rsidRDefault="00000000" w:rsidRPr="00000000" w14:paraId="0000013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declare that the information provided is true and made in good faith. </w:t>
      </w:r>
    </w:p>
    <w:p w:rsidR="00000000" w:rsidDel="00000000" w:rsidP="00000000" w:rsidRDefault="00000000" w:rsidRPr="00000000" w14:paraId="0000013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w:t>
      </w:r>
    </w:p>
    <w:p w:rsidR="00000000" w:rsidDel="00000000" w:rsidP="00000000" w:rsidRDefault="00000000" w:rsidRPr="00000000" w14:paraId="0000013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Name: </w:t>
      </w:r>
    </w:p>
    <w:p w:rsidR="00000000" w:rsidDel="00000000" w:rsidP="00000000" w:rsidRDefault="00000000" w:rsidRPr="00000000" w14:paraId="0000013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ID: </w:t>
      </w:r>
    </w:p>
    <w:p w:rsidR="00000000" w:rsidDel="00000000" w:rsidP="00000000" w:rsidRDefault="00000000" w:rsidRPr="00000000" w14:paraId="0000013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sectPr>
      <w:headerReference r:id="rId9" w:type="first"/>
      <w:footerReference r:id="rId10" w:type="default"/>
      <w:footerReference r:id="rId11"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left"/>
      <w:pPr>
        <w:ind w:left="420" w:hanging="360"/>
      </w:pPr>
      <w:rPr/>
    </w:lvl>
    <w:lvl w:ilvl="1">
      <w:start w:val="1"/>
      <w:numFmt w:val="lowerLetter"/>
      <w:lvlText w:val="%2."/>
      <w:lvlJc w:val="left"/>
      <w:pPr>
        <w:ind w:left="1140" w:hanging="360"/>
      </w:pPr>
      <w:rPr/>
    </w:lvl>
    <w:lvl w:ilvl="2">
      <w:start w:val="1"/>
      <w:numFmt w:val="lowerRoman"/>
      <w:lvlText w:val="%3."/>
      <w:lvlJc w:val="right"/>
      <w:pPr>
        <w:ind w:left="1860" w:hanging="180"/>
      </w:pPr>
      <w:rPr/>
    </w:lvl>
    <w:lvl w:ilvl="3">
      <w:start w:val="1"/>
      <w:numFmt w:val="decimal"/>
      <w:lvlText w:val="%4."/>
      <w:lvlJc w:val="left"/>
      <w:pPr>
        <w:ind w:left="2580" w:hanging="360"/>
      </w:pPr>
      <w:rPr/>
    </w:lvl>
    <w:lvl w:ilvl="4">
      <w:start w:val="1"/>
      <w:numFmt w:val="lowerLetter"/>
      <w:lvlText w:val="%5."/>
      <w:lvlJc w:val="left"/>
      <w:pPr>
        <w:ind w:left="3300" w:hanging="360"/>
      </w:pPr>
      <w:rPr/>
    </w:lvl>
    <w:lvl w:ilvl="5">
      <w:start w:val="1"/>
      <w:numFmt w:val="lowerRoman"/>
      <w:lvlText w:val="%6."/>
      <w:lvlJc w:val="right"/>
      <w:pPr>
        <w:ind w:left="4020" w:hanging="180"/>
      </w:pPr>
      <w:rPr/>
    </w:lvl>
    <w:lvl w:ilvl="6">
      <w:start w:val="1"/>
      <w:numFmt w:val="decimal"/>
      <w:lvlText w:val="%7."/>
      <w:lvlJc w:val="left"/>
      <w:pPr>
        <w:ind w:left="4740" w:hanging="360"/>
      </w:pPr>
      <w:rPr/>
    </w:lvl>
    <w:lvl w:ilvl="7">
      <w:start w:val="1"/>
      <w:numFmt w:val="lowerLetter"/>
      <w:lvlText w:val="%8."/>
      <w:lvlJc w:val="left"/>
      <w:pPr>
        <w:ind w:left="5460" w:hanging="360"/>
      </w:pPr>
      <w:rPr/>
    </w:lvl>
    <w:lvl w:ilvl="8">
      <w:start w:val="1"/>
      <w:numFmt w:val="lowerRoman"/>
      <w:lvlText w:val="%9."/>
      <w:lvlJc w:val="right"/>
      <w:pPr>
        <w:ind w:left="61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pfUU4LsmJSaXkcvkb2imIiHL1w==">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531E4D09200843F8BAAE57AEAE0C6DD7</vt:lpwstr>
  </property>
  <property fmtid="{D5CDD505-2E9C-101B-9397-08002B2CF9AE}" pid="4" name="MSIP_Label_defa4170-0d19-0005-0004-bc88714345d2_Enabled">
    <vt:lpwstr>true</vt:lpwstr>
  </property>
  <property fmtid="{D5CDD505-2E9C-101B-9397-08002B2CF9AE}" pid="5" name="MSIP_Label_defa4170-0d19-0005-0004-bc88714345d2_SetDate">
    <vt:lpwstr>2024-10-28T03:46:02Z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2fd7aad3-35f1-47ea-ae50-0a3c4fbab390</vt:lpwstr>
  </property>
  <property fmtid="{D5CDD505-2E9C-101B-9397-08002B2CF9AE}" pid="9" name="MSIP_Label_defa4170-0d19-0005-0004-bc88714345d2_ActionId">
    <vt:lpwstr>77016f52-00b9-498c-9fdc-169ca6b04a9e</vt:lpwstr>
  </property>
  <property fmtid="{D5CDD505-2E9C-101B-9397-08002B2CF9AE}" pid="10" name="MSIP_Label_defa4170-0d19-0005-0004-bc88714345d2_ContentBits">
    <vt:lpwstr>0</vt:lpwstr>
  </property>
</Properties>
</file>