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FRESHMARKET  /  PROJECT DELIVERY</w:t>
      </w:r>
    </w:p>
    <w:p>
      <w:pPr>
        <w:spacing w:before="1300"/>
      </w:pPr>
      <w:r>
        <w:rPr>
          <w:rFonts w:ascii="Microsoft YaHei" w:hAnsi="Microsoft YaHei" w:eastAsia="微软雅黑"/>
          <w:b/>
          <w:color w:val="174950"/>
          <w:sz w:val="56"/>
        </w:rPr>
        <w:t>鲜境 · 测试报告</w:t>
      </w:r>
    </w:p>
    <w:p>
      <w:pPr>
        <w:pStyle w:val="Subtitle"/>
      </w:pPr>
      <w:r>
        <w:t>双数据库与实际组件验证证据</w:t>
      </w:r>
    </w:p>
    <w:p>
      <w:r>
        <w:t>独立品牌 · 仿盒马生鲜选购体验 · 实际持久化业务闭环</w:t>
      </w:r>
    </w:p>
    <w:p>
      <w:r>
        <w:t>版本 1.0  |  编制日期 2026-10-06</w:t>
      </w:r>
    </w:p>
    <w:p>
      <w:r>
        <w:t>依据实验任务书与教材第九章；记录本次实际实现及测试范围。</w:t>
      </w:r>
    </w:p>
    <w:p>
      <w:r>
        <w:t>提交人姓名 / 学号 / 专业：________________________</w:t>
      </w:r>
    </w:p>
    <w:p>
      <w:r>
        <w:br w:type="page"/>
      </w:r>
    </w:p>
    <w:p>
      <w:pPr>
        <w:pStyle w:val="Heading1"/>
      </w:pPr>
      <w:r>
        <w:t>1. 测试范围与环境</w:t>
      </w:r>
    </w:p>
    <w:p>
      <w:r>
        <w:t>日期：2026-10-06。Windows Node.js v24.14.1，154.0.4258.53版Edge，React/Fastify/TypeScript精确版本见依赖证据；Docker Linux环境采用PostgreSQL17、Redis7.4与RabbitMQ4.3.6。SQLite测试使用内存数据库；PostgreSQL每项创建独立schema，测试结束删除。</w:t>
      </w:r>
    </w:p>
    <w:p>
      <w:r>
        <w:t>最终代码完成类型检查、生产构建、锁文件审计、两种数据库上的业务自动测试、桌面/手机E2E，以及真实Redis/RabbitMQ链路验证。GitHub Actions配置已提交到源码，尚未声称远端工作流实际运行。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项目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最终结果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证据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SQLite后端测试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28/28通过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evidence/backend-tests.txt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PostgreSQL后端测试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28/28通过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evidence/postgres-tests.txt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SQLite代码覆盖率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行 87.02%、分支 80.63%、函数 83.13%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Node实验性coverage报告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PostgreSQL代码覆盖率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行 88.2%、分支 80.89%、函数 79.87%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独立报告，不能直接相加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本机与Docker浏览器测试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两个环境各5/5通过，Docker最终失败数 0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evidence/e2e-local-results.json、e2e-docker-results.json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真实数据库/缓存/队列检查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8/8通过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evidence/infra-smoke.json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类型检查/构建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evidence/typecheck.txt、build.txt；另有docker-build.txt与镜像启动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联网依赖审计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0项已知依赖告警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evidence/dependency-audit.json；不等同全面安全审计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容器与采集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七个容器运行；API数据库/缓存/队列连接；Prometheus target UP=1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docker-services.json、health.json、prometheus-target.json</w:t>
            </w:r>
          </w:p>
        </w:tc>
      </w:tr>
    </w:tbl>
    <w:p/>
    <w:p>
      <w:pPr>
        <w:pStyle w:val="Heading1"/>
      </w:pPr>
      <w:r>
        <w:t>2. 后端业务用例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编号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场景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SQLite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PostgreSQL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T01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密码哈希与随机盐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T02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登录/JWT/错误密码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T03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注册角色注入与固定会员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T04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RBAC身份与职能拦截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T05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分页边界/排序枚举/SQL参数化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T06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购物车修改与库存溢出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T07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下单金额/地址/价格快照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T08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满99元免配送费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T09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8次并发幂等下单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T10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不同请求同key冲突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T11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多商品失败事务回滚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T12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两个会员争抢最后3件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T13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6次重复支付只记一笔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T14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付款与取消状态竞争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T15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重复取消只归还一次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T16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过期拒付与自动回库存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T17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订单读取/支付/取消/退款越权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T18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履约顺序与确认收货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T19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售后冻结履约/退款幂等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T20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已配送生鲜退款不回库存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T21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收货后评价/重复与未购商品限制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T22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售后冻结结算/重复结算跳过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T23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Outbox失败重试/消费去重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T24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旧JWT权限撤销即时生效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T25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库存调整不能为负/审计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T26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地址手机号/归属/默认地址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T27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经营概览/OpenAPI/健康/指标/脱敏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T28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登录限流防暴力尝试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  <w:tc>
          <w:tcPr>
            <w:tcW w:type="dxa" w:w="252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通过</w:t>
            </w:r>
          </w:p>
        </w:tc>
      </w:tr>
    </w:tbl>
    <w:p/>
    <w:p>
      <w:r>
        <w:t>重点断言：库存不能负数；部分扣减失败全回滚；付款/取消竞争只有一个状态转换有效；订单快照不随商品价格更新变化；角色变更使旧JWT权限立即失效；售后与结算锁定同一订单。</w:t>
      </w:r>
    </w:p>
    <w:p>
      <w:pPr>
        <w:pStyle w:val="Heading1"/>
      </w:pPr>
      <w:r>
        <w:t>3. 端到端用例与截图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编号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场景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验证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E01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桌面商城→搜索→详情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12条商品分页、食材图片decode成功、存储信息、无页面JS错误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E02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390×844手机商城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无页面横向溢出；商品加购控制可用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E03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注册→地址→下单→付款→仓库履约→收货→评价→结算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真实API持久化；重复结算不生成记录；会员后台拦截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E04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顾客售后→客服审核→管理员概览与审计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退款实际通过；audit包含refund.decision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E05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仓库权限</w:t>
            </w:r>
          </w:p>
        </w:tc>
        <w:tc>
          <w:tcPr>
            <w:tcW w:type="dxa" w:w="336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库存/履约可见；成员权限/财务菜单隐藏；直接访问成员页被拒绝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232152" cy="6492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2152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桌面商城 · 完整原图：screenshots/01-home-desktop.png</w:t>
      </w:r>
    </w:p>
    <w:p>
      <w:r>
        <w:drawing>
          <wp:inline xmlns:a="http://schemas.openxmlformats.org/drawingml/2006/main" xmlns:pic="http://schemas.openxmlformats.org/drawingml/2006/picture">
            <wp:extent cx="933618" cy="6492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3618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手机商城 · 完整原图：screenshots/02-home-mobile.png</w:t>
      </w:r>
    </w:p>
    <w:p>
      <w:r>
        <w:drawing>
          <wp:inline xmlns:a="http://schemas.openxmlformats.org/drawingml/2006/main" xmlns:pic="http://schemas.openxmlformats.org/drawingml/2006/picture">
            <wp:extent cx="6080760" cy="44085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ber-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40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顾客订单 · 完整原图：screenshots/03-member-orders.png</w:t>
      </w:r>
    </w:p>
    <w:p>
      <w:r>
        <w:drawing>
          <wp:inline xmlns:a="http://schemas.openxmlformats.org/drawingml/2006/main" xmlns:pic="http://schemas.openxmlformats.org/drawingml/2006/picture">
            <wp:extent cx="6080760" cy="41852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fund-workben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185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售后后台 · 完整原图：screenshots/04-refund-workbench.png</w:t>
      </w:r>
    </w:p>
    <w:p>
      <w:r>
        <w:drawing>
          <wp:inline xmlns:a="http://schemas.openxmlformats.org/drawingml/2006/main" xmlns:pic="http://schemas.openxmlformats.org/drawingml/2006/picture">
            <wp:extent cx="6080760" cy="590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0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经营概览 · 完整原图：screenshots/05-admin-dashboard.png</w:t>
      </w:r>
    </w:p>
    <w:p>
      <w:r>
        <w:drawing>
          <wp:inline xmlns:a="http://schemas.openxmlformats.org/drawingml/2006/main" xmlns:pic="http://schemas.openxmlformats.org/drawingml/2006/picture">
            <wp:extent cx="5313342" cy="6492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dit-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3342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审计日志 · 完整原图：screenshots/06-audit-log.png</w:t>
      </w:r>
    </w:p>
    <w:p>
      <w:pPr>
        <w:pStyle w:val="Heading1"/>
      </w:pPr>
      <w:r>
        <w:t>4. 实物组件与运维证据</w:t>
      </w:r>
    </w:p>
    <w:p>
      <w:r>
        <w:t>隔离命名空间验证Redis真实连接、缓存TTL、共享版本失效、PostgreSQL下单、RabbitMQ发布确认、消费者提交后ack、重复事件去重、取消库存归还与消息投递。验证资源结束后清理，不使用内存假实现替代真实组件。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untime-sta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容器与技术栈 · 完整原图：screenshots/07-runtime-stack.png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rafana-mon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Grafana实际监控 · 完整原图：screenshots/08-grafana-monitor.png</w:t>
      </w:r>
    </w:p>
    <w:p>
      <w:r>
        <w:drawing>
          <wp:inline xmlns:a="http://schemas.openxmlformats.org/drawingml/2006/main" xmlns:pic="http://schemas.openxmlformats.org/drawingml/2006/picture">
            <wp:extent cx="3086439" cy="64922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pen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6439" cy="649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OpenAPI · 完整原图：screenshots/09-openapi.png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bac-deni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68868D"/>
          <w:sz w:val="16"/>
        </w:rPr>
        <w:t>真实403拦截 · 完整原图：screenshots/10-rbac-denied.png</w:t>
      </w:r>
    </w:p>
    <w:p>
      <w:pPr>
        <w:pStyle w:val="Heading1"/>
      </w:pPr>
      <w:r>
        <w:t>5. 商品接口短时HTTP测量</w:t>
      </w:r>
    </w:p>
    <w:p>
      <w:r>
        <w:t>范围：本机单实例SQLite API，无Redis；GET /api/products?pageSize=12&amp;sort=default。并发 10，请求 200，总时长 0.168秒。这是短时突发测量，反映本机运行结果，不宣称长期稳态或生产最大容量。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指标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sz w:val="19"/>
              </w:rPr>
              <w:t>实测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QPS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1193.47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平均RT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7.56 ms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p50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6.53 ms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p95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17.34 ms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p99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25.36 ms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错误数 / 错误率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0 / 0.00%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HTTP状态</w:t>
            </w:r>
          </w:p>
        </w:tc>
        <w:tc>
          <w:tcPr>
            <w:tcW w:type="dxa" w:w="5040"/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 w:val="0"/>
                <w:sz w:val="19"/>
              </w:rPr>
              <w:t>{"200": 200}</w:t>
            </w:r>
          </w:p>
        </w:tc>
      </w:tr>
    </w:tbl>
    <w:p/>
    <w:p>
      <w:r>
        <w:t>原始数据：evidence/load-test.json，测量时间 2026-10-06T07:50:25.611Z。本轮p95满足需求中本地500ms目标；200请求总时长很短，不能据此判断跨网访问、数据库增长、持续峰值、容灾或多节点SLA。限流开启时频繁重复压测可能收到429，这属于限流而不是数据一致性故障。</w:t>
      </w:r>
    </w:p>
    <w:p>
      <w:pPr>
        <w:pStyle w:val="Heading1"/>
      </w:pPr>
      <w:r>
        <w:t>6. 修复与回归</w:t>
      </w:r>
    </w:p>
    <w:p>
      <w:r>
        <w:t>首次浏览器E2E售后流程失败于登录按钮定位歧义；限定header元素后通过。Docker构建联网审计识别Swagger UI关联静态路由漏洞；升级@fastify/swagger-ui至6.1.1后重新构建，并回归SQLite、PostgreSQL与浏览器流程，最终审计告警为0。没有通过删掉失败断言来获得通过结果。</w:t>
      </w:r>
    </w:p>
    <w:p>
      <w:pPr>
        <w:pStyle w:val="Heading1"/>
      </w:pPr>
      <w:r>
        <w:t>7. 验证边界与复现</w:t>
      </w:r>
    </w:p>
    <w:p>
      <w:r>
        <w:t>没有执行真实资金支付、真实骑手配送、跨区域容灾、主从故障切换、长期压力、生产渗透或覆盖全部浏览器。备份与恢复/回滚脚本已交付，尚未以破坏现有演示数据方式演练恢复。所有通过结果仅对应本报告列明的范围。</w:t>
      </w:r>
    </w:p>
    <w:p>
      <w:r>
        <w:t>复现：npm ci → npm run typecheck → npm test → npm run build → npm run dev → npm run test:e2e → npm run load。Docker：docker compose --env-file .env.docker up -d --build；随后 scripts/e2e-docker.ps1、compose.test.yaml和scripts/infra-smoke.mjs提供完整环境验证入口。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微软雅黑"/>
        <w:color w:val="68868D"/>
        <w:sz w:val="16"/>
      </w:rPr>
      <w:t xml:space="preserve">FreshMarket · 2026-10-06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微软雅黑"/>
        <w:color w:val="68868D"/>
        <w:sz w:val="18"/>
      </w:rPr>
      <w:t>鲜境 FreshMarket  /  AI辅助软件开发实践 · 实验四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8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测试报告</dc:title>
  <dc:subject/>
  <dc:creator>FreshMarket 项目交付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