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FRESHMARKET  /  PROJECT DELIVERY</w:t>
      </w:r>
    </w:p>
    <w:p>
      <w:pPr>
        <w:spacing w:before="1300"/>
      </w:pPr>
      <w:r>
        <w:rPr>
          <w:rFonts w:ascii="Microsoft YaHei" w:hAnsi="Microsoft YaHei" w:eastAsia="微软雅黑"/>
          <w:b/>
          <w:color w:val="174950"/>
          <w:sz w:val="56"/>
        </w:rPr>
        <w:t>鲜境 · 需求文档</w:t>
      </w:r>
    </w:p>
    <w:p>
      <w:pPr>
        <w:pStyle w:val="Subtitle"/>
      </w:pPr>
      <w:r>
        <w:t>用户画像、权限与可验证业务需求</w:t>
      </w:r>
    </w:p>
    <w:p>
      <w:r>
        <w:t>独立品牌 · 仿盒马生鲜选购体验 · 实际持久化业务闭环</w:t>
      </w:r>
    </w:p>
    <w:p>
      <w:r>
        <w:t>版本 1.0  |  编制日期 2026-10-06</w:t>
      </w:r>
    </w:p>
    <w:p>
      <w:r>
        <w:t>依据实验任务书与教材第九章；记录本次实际实现及测试范围。</w:t>
      </w:r>
    </w:p>
    <w:p>
      <w:r>
        <w:t>提交人姓名 / 学号 / 专业：________________________</w:t>
      </w:r>
    </w:p>
    <w:p>
      <w:r>
        <w:br w:type="page"/>
      </w:r>
    </w:p>
    <w:p>
      <w:r>
        <w:t>版本：1.0；依据：实验四商城系统任务书、教材第九章（扫描PDF第150–156页，书内第135–141页）。</w:t>
      </w:r>
    </w:p>
    <w:p>
      <w:pPr>
        <w:pStyle w:val="Heading1"/>
      </w:pPr>
      <w:r>
        <w:t>1. 项目定位</w:t>
      </w:r>
    </w:p>
    <w:p>
      <w:r>
        <w:t>参考盒马的分类选购、产地鲜选、冷链食材与到家购物体验，面向城市家庭、上班族和轻食人群搭建生鲜商城；采用独立品牌“鲜境”，不声称与盒马存在合作。目标是让顾客完成真实持久化购物闭环，让员工按职责处理库存、履约、售后与结算。</w:t>
      </w:r>
    </w:p>
    <w:p>
      <w:r>
        <w:t>顾客痛点：食材规格和储存方式不清楚、配送时间不便、售后处理不可追踪。业务痛点：超卖、重复下单/付款、售后与结算冲突、员工越权、缺少可复现部署证据。</w:t>
      </w:r>
    </w:p>
    <w:p>
      <w:r>
        <w:t>范围包含6个分类、24款初始化商品；站点采用响应式网页。支付为本地沙箱，不接入银行卡/支付宝/微信真实扣款；配送为仓库状态流转，不接入真实骑手或地图定位。当前运费为商品小计满99元免配送费，否则6元；支持整单退款。统一货币人民币，金额字段为整数分。</w:t>
      </w:r>
    </w:p>
    <w:p>
      <w:pPr>
        <w:pStyle w:val="Heading1"/>
      </w:pPr>
      <w:r>
        <w:t>2. 用户画像与场景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画像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目标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关键场景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城市家庭采购者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一次买齐当天食材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搜索蔬菜、肉禽，选择配送时段，查看收货进度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上班族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便捷安排早餐与晚餐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选购乳品/速食、保存地址、快速结算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运营员工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维护价格和商品信息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上下架、修改规格/产地/图片与价格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仓库员工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避免库存与履约差错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采购入库、损耗登记、拣货、配送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客服/财务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管控售后和账务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核实退款原因、排除售后订单、幂等结算</w:t>
            </w:r>
          </w:p>
        </w:tc>
      </w:tr>
    </w:tbl>
    <w:p/>
    <w:p>
      <w:pPr>
        <w:pStyle w:val="Heading1"/>
      </w:pPr>
      <w:r>
        <w:t>3. 功能验收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编号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功能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验收条件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分类、搜索、排序、分页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搜索名称/副标题/产地；页大小1–100；排序枚举限制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F02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商品详情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展示售价、原价、规格、产地、储存方式、库存与真实评价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F03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账号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注册固定会员身份；密码哈希；JWT有效期2小时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F04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购物车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增加、修改、移除；数量1–99；读取服务端价格计算小计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F05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地址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支持最多20个地址；校验手机号；用户只能修改本人地址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F06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下单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校验本人地址及商品可售；订单保存价格、地址和规格快照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F07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防超卖与幂等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同一请求标识返回同一订单；不同请求内容返回409；多商品扣库存失败全部回滚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F08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支付与取消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沙箱付款只计账一次；仅待付款订单可取消；超时自动归还库存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F09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履约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仓库按待拣货→拣货中→配送中操作；会员只能确认本人订单收货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F10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售后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已付款未结算订单可申请一次整单售后；审核中冻结履约/结算；已配送商品不回库存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F11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评价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已收货且包含该商品才可评价；每个订单商品只评价一次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F12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结算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仅已收货、无待审核/通过退款、未结算订单；重复批次不会重复入账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F13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运营后台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商品、库存、订单、售后、财务、成员权限、审计按角色开放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F14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可靠性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业务事件与业务数据同事务写入Outbox；重试和消费去重；服务健康及指标可查询</w:t>
            </w:r>
          </w:p>
        </w:tc>
      </w:tr>
    </w:tbl>
    <w:p/>
    <w:p>
      <w:pPr>
        <w:pStyle w:val="Heading1"/>
      </w:pPr>
      <w:r>
        <w:t>4. 角色权限矩阵</w:t>
      </w:r>
    </w:p>
    <w:p>
      <w:r>
        <w:t>“本人”表示必须带用户所有权条件；员工订单输出对手机号脱敏。游客仅访问公开商品。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能力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游客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会员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运营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仓库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客服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财务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7"/>
              </w:rPr>
              <w:t>管理员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商品浏览/搜索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个人购物/地址/订单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本人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经营概览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商品编辑/上下架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库存入库/损耗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查看全部订单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拣货/配送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退款审核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财务结算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成员角色/审计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—</w:t>
            </w:r>
          </w:p>
        </w:tc>
        <w:tc>
          <w:tcPr>
            <w:tcW w:type="dxa" w:w="12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7"/>
              </w:rPr>
              <w:t>✓</w:t>
            </w:r>
          </w:p>
        </w:tc>
      </w:tr>
    </w:tbl>
    <w:p/>
    <w:p>
      <w:r>
        <w:t>登录后每次请求重新从数据库读取角色，因此角色撤销立即影响旧JWT。后台隐藏菜单与服务端RBAC同时实施；不能只依赖前端隐藏。</w:t>
      </w:r>
    </w:p>
    <w:p>
      <w:pPr>
        <w:pStyle w:val="Heading1"/>
      </w:pPr>
      <w:r>
        <w:t>5. 用例图</w:t>
      </w:r>
    </w:p>
    <w:p>
      <w:r>
        <w:drawing>
          <wp:inline xmlns:a="http://schemas.openxmlformats.org/drawingml/2006/main" xmlns:pic="http://schemas.openxmlformats.org/drawingml/2006/picture">
            <wp:extent cx="6080760" cy="3952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5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用例与角色 · 完整原图：diagrams/use-cases.png</w:t>
      </w:r>
    </w:p>
    <w:p>
      <w:pPr>
        <w:pStyle w:val="Heading1"/>
      </w:pPr>
      <w:r>
        <w:t>6. 业务流程与状态</w:t>
      </w:r>
    </w:p>
    <w:p>
      <w:r>
        <w:drawing>
          <wp:inline xmlns:a="http://schemas.openxmlformats.org/drawingml/2006/main" xmlns:pic="http://schemas.openxmlformats.org/drawingml/2006/picture">
            <wp:extent cx="6080760" cy="3724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购物业务闭环 · 完整原图：diagrams/business-flow.png</w:t>
      </w:r>
    </w:p>
    <w:p>
      <w:r>
        <w:t>退款申请不把订单直接改为“退款中”，而是在独立退款实体中记录pending；履约及结算查询该实体决定是否拦截。已付款/已拣货且未配送的退款归还库存；配送中/已完成退款不回库存。退款被拒绝后保留一次申请记录；当前不支持再次申请及部分退款。</w:t>
      </w:r>
    </w:p>
    <w:p>
      <w:pPr>
        <w:pStyle w:val="Heading1"/>
      </w:pPr>
      <w:r>
        <w:t>7. 领域模型</w:t>
      </w:r>
    </w:p>
    <w:p>
      <w:r>
        <w:drawing>
          <wp:inline xmlns:a="http://schemas.openxmlformats.org/drawingml/2006/main" xmlns:pic="http://schemas.openxmlformats.org/drawingml/2006/picture">
            <wp:extent cx="6080760" cy="3116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1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领域对象与订单聚合 · 完整原图：diagrams/domain-model.png</w:t>
      </w:r>
    </w:p>
    <w:p>
      <w:pPr>
        <w:pStyle w:val="Heading1"/>
      </w:pPr>
      <w:r>
        <w:t>8. 数据ER图</w:t>
      </w:r>
    </w:p>
    <w:p>
      <w:r>
        <w:drawing>
          <wp:inline xmlns:a="http://schemas.openxmlformats.org/drawingml/2006/main" xmlns:pic="http://schemas.openxmlformats.org/drawingml/2006/picture">
            <wp:extent cx="6080760" cy="38764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76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color w:val="68868D"/>
          <w:sz w:val="16"/>
        </w:rPr>
        <w:t>数据实体与约束 · 完整原图：diagrams/er.png</w:t>
      </w:r>
    </w:p>
    <w:p>
      <w:r>
        <w:t>逻辑Outbox与processed_events以事件id对应；为保留重放能力，不设置数据库物理外键。订单地址是JSON快照，不引用可被修改/删除的当前地址。完整DDL与索引位于 database/schema.sql。</w:t>
      </w:r>
    </w:p>
    <w:p>
      <w:pPr>
        <w:pStyle w:val="Heading1"/>
      </w:pPr>
      <w:r>
        <w:t>9. API清单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模块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方法与路径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访问规则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账号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 /api/auth/register, POST /api/auth/login, GET /api/auth/me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注册/登录公开，其余JWT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商品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/api/categories, GET /api/products, GET /api/products/:id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公开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购物车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GET/POST /api/cart, PUT /api/cart/:id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地址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GET/POST /api/addresses, PUT/DELETE /api/addresses/:id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订单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POST/GET /api/orders, GET /api/orders/:id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本人；创建须Idempotency-Key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支付/取消/收货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 /api/orders/:id/pay, /cancel, /receive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本人+状态机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售后/评价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POST /api/orders/:id/refund, /reviews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本人+业务约束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消息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/api/notifications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本人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后台概览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/api/admin/dashboard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dashboard权限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商品/库存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GET/POST /api/admin/products, PUT /:id, POST /:id/stock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各自RBAC权限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后台订单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/api/admin/orders, POST /api/admin/orders/:id/status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orders/fulfillment权限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售后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/api/admin/refunds, POST /:id/decision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refunds权限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结算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GET/POST /api/admin/settlements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settlements权限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用户/审计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/api/admin/users, PUT /:id/role, GET /api/admin/audit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users/audit权限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运维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GET /api/health, /api/metrics, /api/openapi.json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metrics在网关阻断外部访问</w:t>
            </w:r>
          </w:p>
        </w:tc>
      </w:tr>
    </w:tbl>
    <w:p/>
    <w:p>
      <w:r>
        <w:t>所有业务接口返回 {code,message,data,traceId}；分页为 {items,total,page,pageSize}。错误使用400/401/403/404/409/429/500等HTTP状态。OpenAPI保留请求体、参数、Bearer鉴权定义。</w:t>
      </w:r>
    </w:p>
    <w:p>
      <w:pPr>
        <w:pStyle w:val="Heading1"/>
      </w:pPr>
      <w:r>
        <w:t>10. 非功能需求与验证方式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编号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验收目标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验证方式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N01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商品列表本地p95&lt;500ms，并发10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200次HTTP突发测量，保存QPS、分位数与错误率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不等同生产持续容量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N02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并发争抢最后3件时不超卖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两个会员同时下单；仅一单成功；库存0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SQLite本地测试+PostgreSQL CI测试入口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N03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重复提交8次只创建1单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并发幂等集成测试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同用户、同key、同请求内容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N04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重复支付只记1笔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并发支付测试+唯一约束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真实渠道回调签名不在沙箱范围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N05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订单/地址所有权隔离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越权读取、取消、付款、退款、修改地址测试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RBAC在服务端重新读取角色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N06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核心自动化测试全部通过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后端、E2E、类型检查、生产构建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见实际测试报告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N07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390px手机与1440px桌面可用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Playwright检查横向溢出与交互，保存截图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不代表全部设备矩阵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N08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事件不因应用崩溃丢失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Outbox同事务、发布确认、重复消费测试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RabbitMQ实际连接验证独立标注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N09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可运维/复现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Docker Compose、健康、指标、备份、回滚、锁文件</w:t>
            </w:r>
          </w:p>
        </w:tc>
        <w:tc>
          <w:tcPr>
            <w:tcW w:type="dxa" w:w="2520"/>
          </w:tcPr>
          <w:p>
            <w:pPr>
              <w:spacing w:after="80"/>
            </w:pPr>
            <w:r>
              <w:rPr>
                <w:rFonts w:ascii="Microsoft YaHei" w:hAnsi="Microsoft YaHei" w:eastAsia="微软雅黑"/>
                <w:b w:val="0"/>
                <w:sz w:val="19"/>
              </w:rPr>
              <w:t>生产SLA/灾备恢复时间须另测</w:t>
            </w:r>
          </w:p>
        </w:tc>
      </w:tr>
    </w:tbl>
    <w:p/>
    <w:p>
      <w:r>
        <w:t>不将99.9%可用性、长期峰值QPS、多节点故障恢复或容灾RPO声明为本次已验证结果。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8868D"/>
        <w:sz w:val="16"/>
      </w:rPr>
      <w:t xml:space="preserve">FreshMarket · 2026-10-06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微软雅黑"/>
        <w:color w:val="68868D"/>
        <w:sz w:val="18"/>
      </w:rPr>
      <w:t>鲜境 FreshMarket  /  AI辅助软件开发实践 · 实验四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鲜境 FreshMarket 需求文档</dc:title>
  <dc:subject/>
  <dc:creator>FreshMarket 项目交付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