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FRESHMARKET  /  PROJECT DELIVERY</w:t>
      </w:r>
    </w:p>
    <w:p>
      <w:pPr>
        <w:spacing w:before="1300"/>
      </w:pPr>
      <w:r>
        <w:rPr>
          <w:rFonts w:ascii="Microsoft YaHei" w:hAnsi="Microsoft YaHei" w:eastAsia="微软雅黑"/>
          <w:b/>
          <w:color w:val="174950"/>
          <w:sz w:val="56"/>
        </w:rPr>
        <w:t>鲜境 · AI过程与决策记录</w:t>
      </w:r>
    </w:p>
    <w:p>
      <w:pPr>
        <w:pStyle w:val="Subtitle"/>
      </w:pPr>
      <w:r>
        <w:t>实际Prompt、采纳依据与修正记录</w:t>
      </w:r>
    </w:p>
    <w:p>
      <w:r>
        <w:t>独立品牌 · 仿盒马生鲜选购体验 · 实际持久化业务闭环</w:t>
      </w:r>
    </w:p>
    <w:p>
      <w:r>
        <w:t>版本 1.0  |  编制日期 2026-10-06</w:t>
      </w:r>
    </w:p>
    <w:p>
      <w:r>
        <w:t>依据实验任务书与教材第九章；记录本次实际实现及测试范围。</w:t>
      </w:r>
    </w:p>
    <w:p>
      <w:r>
        <w:t>提交人姓名 / 学号 / 专业：________________________</w:t>
      </w:r>
    </w:p>
    <w:p>
      <w:r>
        <w:br w:type="page"/>
      </w:r>
    </w:p>
    <w:p>
      <w:r>
        <w:t>工具：Codex；模型：GPT-6系列（依据本会话系统声明；服务端精确模型构建号未公开）。日期：2026-10-06。以下是本次实际工作记录，不补造团队讨论、人工评审或未执行的测试。</w:t>
      </w:r>
    </w:p>
    <w:p>
      <w:pPr>
        <w:pStyle w:val="Heading1"/>
      </w:pPr>
      <w:r>
        <w:t>原始用户Prompt</w:t>
      </w:r>
    </w:p>
    <w:p>
      <w:pPr>
        <w:ind w:left="288"/>
      </w:pPr>
      <w:r>
        <w:t>按照所给文档的要求完成系统搭建，目标是仿盒马搭建企业级生鲜购物平台</w:t>
      </w:r>
    </w:p>
    <w:p>
      <w:r>
        <w:t>输入材料：实验四：【项目实战】企业级应用——XX商城系统.docx、教材：AI辅助软件开发实践(1).pdf。工作区开始时没有现有项目源码。</w:t>
      </w:r>
    </w:p>
    <w:p>
      <w:pPr>
        <w:pStyle w:val="Heading1"/>
      </w:pPr>
      <w:r>
        <w:t>分阶段记录</w:t>
      </w:r>
    </w:p>
    <w:p>
      <w:r>
        <w:t>阶段工作指令是代理依据用户Prompt归纳的执行任务，不是虚构的新用户消息。代码和文档由本会话生成、修订；人工团队姓名、签名及最终意见留待提交人填写。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/>
        </w:trPr>
        <w:tc>
          <w:tcPr>
            <w:tcW w:type="dxa" w:w="2016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/>
                <w:sz w:val="19"/>
              </w:rPr>
              <w:t>阶段</w:t>
            </w:r>
          </w:p>
        </w:tc>
        <w:tc>
          <w:tcPr>
            <w:tcW w:type="dxa" w:w="2016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/>
                <w:sz w:val="19"/>
              </w:rPr>
              <w:t>阶段工作指令/输入</w:t>
            </w:r>
          </w:p>
        </w:tc>
        <w:tc>
          <w:tcPr>
            <w:tcW w:type="dxa" w:w="2016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/>
                <w:sz w:val="19"/>
              </w:rPr>
              <w:t>生成内容</w:t>
            </w:r>
          </w:p>
        </w:tc>
        <w:tc>
          <w:tcPr>
            <w:tcW w:type="dxa" w:w="2016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/>
                <w:sz w:val="19"/>
              </w:rPr>
              <w:t>采纳或调整理由</w:t>
            </w:r>
          </w:p>
        </w:tc>
        <w:tc>
          <w:tcPr>
            <w:tcW w:type="dxa" w:w="2016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/>
                <w:sz w:val="19"/>
              </w:rPr>
              <w:t>实际验证/结果</w:t>
            </w:r>
          </w:p>
        </w:tc>
      </w:tr>
      <w:tr>
        <w:trPr>
          <w:cantSplit/>
        </w:trPr>
        <w:tc>
          <w:tcPr>
            <w:tcW w:type="dxa" w:w="2016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需求</w:t>
            </w:r>
          </w:p>
        </w:tc>
        <w:tc>
          <w:tcPr>
            <w:tcW w:type="dxa" w:w="2016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提取实验功能、企业级能力、交付物；阅读教材第九章</w:t>
            </w:r>
          </w:p>
        </w:tc>
        <w:tc>
          <w:tcPr>
            <w:tcW w:type="dxa" w:w="2016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FreshMarket范围、权限矩阵、业务状态机、非功能指标</w:t>
            </w:r>
          </w:p>
        </w:tc>
        <w:tc>
          <w:tcPr>
            <w:tcW w:type="dxa" w:w="2016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采纳实验完整闭环；不把教程栈当唯一强制方案</w:t>
            </w:r>
          </w:p>
        </w:tc>
        <w:tc>
          <w:tcPr>
            <w:tcW w:type="dxa" w:w="2016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DOCX XML提取；扫描PDF视觉读取第150–156页</w:t>
            </w:r>
          </w:p>
        </w:tc>
      </w:tr>
      <w:tr>
        <w:trPr>
          <w:cantSplit/>
        </w:trPr>
        <w:tc>
          <w:tcPr>
            <w:tcW w:type="dxa" w:w="2016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选型</w:t>
            </w:r>
          </w:p>
        </w:tc>
        <w:tc>
          <w:tcPr>
            <w:tcW w:type="dxa" w:w="2016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依据本机Node24、未运行Docker与实验目标选可复现架构</w:t>
            </w:r>
          </w:p>
        </w:tc>
        <w:tc>
          <w:tcPr>
            <w:tcW w:type="dxa" w:w="2016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TS/Fastify、React、PG/SQLite、Redis、RabbitMQ、Nginx与监控</w:t>
            </w:r>
          </w:p>
        </w:tc>
        <w:tc>
          <w:tcPr>
            <w:tcW w:type="dxa" w:w="2016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采纳模块化单体；不增加服务发现/微服务堆栈</w:t>
            </w:r>
          </w:p>
        </w:tc>
        <w:tc>
          <w:tcPr>
            <w:tcW w:type="dxa" w:w="2016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环境命令、依赖安装、官方API与生命周期核实</w:t>
            </w:r>
          </w:p>
        </w:tc>
      </w:tr>
      <w:tr>
        <w:trPr>
          <w:cantSplit/>
        </w:trPr>
        <w:tc>
          <w:tcPr>
            <w:tcW w:type="dxa" w:w="2016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数据</w:t>
            </w:r>
          </w:p>
        </w:tc>
        <w:tc>
          <w:tcPr>
            <w:tcW w:type="dxa" w:w="2016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用事务、行锁、唯一约束支持库存/付款/退款/结算</w:t>
            </w:r>
          </w:p>
        </w:tc>
        <w:tc>
          <w:tcPr>
            <w:tcW w:type="dxa" w:w="2016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15个数据实体DDL、索引、商品和角色种子</w:t>
            </w:r>
          </w:p>
        </w:tc>
        <w:tc>
          <w:tcPr>
            <w:tcW w:type="dxa" w:w="2016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金额采用整数分；地址和价格快照；已配送不回库存</w:t>
            </w:r>
          </w:p>
        </w:tc>
        <w:tc>
          <w:tcPr>
            <w:tcW w:type="dxa" w:w="2016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SQLite迁移、条件更新、28项后端测试</w:t>
            </w:r>
          </w:p>
        </w:tc>
      </w:tr>
      <w:tr>
        <w:trPr>
          <w:cantSplit/>
        </w:trPr>
        <w:tc>
          <w:tcPr>
            <w:tcW w:type="dxa" w:w="2016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后端</w:t>
            </w:r>
          </w:p>
        </w:tc>
        <w:tc>
          <w:tcPr>
            <w:tcW w:type="dxa" w:w="2016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实现Controller/Service/Repository、JSON Result、RBAC与OpenAPI</w:t>
            </w:r>
          </w:p>
        </w:tc>
        <w:tc>
          <w:tcPr>
            <w:tcW w:type="dxa" w:w="2016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Accounts/Catalog/Orders/Admin/Core</w:t>
            </w:r>
          </w:p>
        </w:tc>
        <w:tc>
          <w:tcPr>
            <w:tcW w:type="dxa" w:w="2016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审计和Outbox与业务一起提交；数据库角色每次读取</w:t>
            </w:r>
          </w:p>
        </w:tc>
        <w:tc>
          <w:tcPr>
            <w:tcW w:type="dxa" w:w="2016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修复TS泛型推断问题；类型检查通过</w:t>
            </w:r>
          </w:p>
        </w:tc>
      </w:tr>
      <w:tr>
        <w:trPr>
          <w:cantSplit/>
        </w:trPr>
        <w:tc>
          <w:tcPr>
            <w:tcW w:type="dxa" w:w="2016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前端</w:t>
            </w:r>
          </w:p>
        </w:tc>
        <w:tc>
          <w:tcPr>
            <w:tcW w:type="dxa" w:w="2016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仿生鲜购物体验，接入真实API和响应式工作台</w:t>
            </w:r>
          </w:p>
        </w:tc>
        <w:tc>
          <w:tcPr>
            <w:tcW w:type="dxa" w:w="2016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6类24商品、搜索/详情/购物车、订单、售后、权限后台</w:t>
            </w:r>
          </w:p>
        </w:tc>
        <w:tc>
          <w:tcPr>
            <w:tcW w:type="dxa" w:w="2016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采纳顾客任务优先；后台经营数据采用真实空状态</w:t>
            </w:r>
          </w:p>
        </w:tc>
        <w:tc>
          <w:tcPr>
            <w:tcW w:type="dxa" w:w="2016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Edge Playwright桌面/手机/闭环/权限截图</w:t>
            </w:r>
          </w:p>
        </w:tc>
      </w:tr>
      <w:tr>
        <w:trPr>
          <w:cantSplit/>
        </w:trPr>
        <w:tc>
          <w:tcPr>
            <w:tcW w:type="dxa" w:w="2016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图片</w:t>
            </w:r>
          </w:p>
        </w:tc>
        <w:tc>
          <w:tcPr>
            <w:tcW w:type="dxa" w:w="2016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查找真实食材示意、随源码保存</w:t>
            </w:r>
          </w:p>
        </w:tc>
        <w:tc>
          <w:tcPr>
            <w:tcW w:type="dxa" w:w="2016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25张本地照片、来源JSON与许可元数据</w:t>
            </w:r>
          </w:p>
        </w:tc>
        <w:tc>
          <w:tcPr>
            <w:tcW w:type="dxa" w:w="2016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补齐来源与失败下载，不交付失效外链</w:t>
            </w:r>
          </w:p>
        </w:tc>
        <w:tc>
          <w:tcPr>
            <w:tcW w:type="dxa" w:w="2016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下载HTTP结果、浏览器图片decode校验</w:t>
            </w:r>
          </w:p>
        </w:tc>
      </w:tr>
      <w:tr>
        <w:trPr>
          <w:cantSplit/>
        </w:trPr>
        <w:tc>
          <w:tcPr>
            <w:tcW w:type="dxa" w:w="2016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测试</w:t>
            </w:r>
          </w:p>
        </w:tc>
        <w:tc>
          <w:tcPr>
            <w:tcW w:type="dxa" w:w="2016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覆盖异常而非只演示CRUD</w:t>
            </w:r>
          </w:p>
        </w:tc>
        <w:tc>
          <w:tcPr>
            <w:tcW w:type="dxa" w:w="2016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并发库存/幂等/付款取消竞争、售后冻结、E2E、突发HTTP测量</w:t>
            </w:r>
          </w:p>
        </w:tc>
        <w:tc>
          <w:tcPr>
            <w:tcW w:type="dxa" w:w="2016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采纳可复现自动断言；不把短测量当生产容量</w:t>
            </w:r>
          </w:p>
        </w:tc>
        <w:tc>
          <w:tcPr>
            <w:tcW w:type="dxa" w:w="2016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首轮后端28/28；首次E2E4/5，修复定位歧义后5/5</w:t>
            </w:r>
          </w:p>
        </w:tc>
      </w:tr>
      <w:tr>
        <w:trPr>
          <w:cantSplit/>
        </w:trPr>
        <w:tc>
          <w:tcPr>
            <w:tcW w:type="dxa" w:w="2016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运维</w:t>
            </w:r>
          </w:p>
        </w:tc>
        <w:tc>
          <w:tcPr>
            <w:tcW w:type="dxa" w:w="2016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Docker可启动、配置分离、备份与回滚、监控</w:t>
            </w:r>
          </w:p>
        </w:tc>
        <w:tc>
          <w:tcPr>
            <w:tcW w:type="dxa" w:w="2016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Compose、Dockerfile、Nginx、Prom/Grafana、CI与脚本</w:t>
            </w:r>
          </w:p>
        </w:tc>
        <w:tc>
          <w:tcPr>
            <w:tcW w:type="dxa" w:w="2016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Docker运行状态、PG/MQ验证以实际证据为准</w:t>
            </w:r>
          </w:p>
        </w:tc>
        <w:tc>
          <w:tcPr>
            <w:tcW w:type="dxa" w:w="2016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初始Docker未运行；启动后继续实测，报告记录最终结果</w:t>
            </w:r>
          </w:p>
        </w:tc>
      </w:tr>
      <w:tr>
        <w:trPr>
          <w:cantSplit/>
        </w:trPr>
        <w:tc>
          <w:tcPr>
            <w:tcW w:type="dxa" w:w="2016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交付</w:t>
            </w:r>
          </w:p>
        </w:tc>
        <w:tc>
          <w:tcPr>
            <w:tcW w:type="dxa" w:w="2016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生成3类Word、实验报告、PPT、录屏和源码包</w:t>
            </w:r>
          </w:p>
        </w:tc>
        <w:tc>
          <w:tcPr>
            <w:tcW w:type="dxa" w:w="2016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deliverables目录与生成脚本</w:t>
            </w:r>
          </w:p>
        </w:tc>
        <w:tc>
          <w:tcPr>
            <w:tcW w:type="dxa" w:w="2016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保留可编辑源文档；不伪造姓名签名或真实支付</w:t>
            </w:r>
          </w:p>
        </w:tc>
        <w:tc>
          <w:tcPr>
            <w:tcW w:type="dxa" w:w="2016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生成后校验归档与文件结构</w:t>
            </w:r>
          </w:p>
        </w:tc>
      </w:tr>
    </w:tbl>
    <w:p/>
    <w:p>
      <w:pPr>
        <w:pStyle w:val="Heading1"/>
      </w:pPr>
      <w:r>
        <w:t>实际修正记录</w:t>
      </w:r>
    </w:p>
    <w:p>
      <w:pPr>
        <w:pStyle w:val="ListNumber"/>
      </w:pPr>
      <w:r>
        <w:t>DOCX目录还存在Word锁文件，初次glob取到非ZIP临时文件。调整为排除 ~$ 文件后成功读取完整任务书。</w:t>
      </w:r>
    </w:p>
    <w:p>
      <w:pPr>
        <w:pStyle w:val="ListNumber"/>
      </w:pPr>
      <w:r>
        <w:t>终端默认中文编码造成乱码，显式设置UTF-8读取输出；原始文档不修改。</w:t>
      </w:r>
    </w:p>
    <w:p>
      <w:pPr>
        <w:pStyle w:val="ListNumber"/>
      </w:pPr>
      <w:r>
        <w:t>PDF为扫描图，pdftotext没有正文。改为渲染并查看指定章节页面，记录真实页码，不声称已OCR全文。</w:t>
      </w:r>
    </w:p>
    <w:p>
      <w:pPr>
        <w:pStyle w:val="ListNumber"/>
      </w:pPr>
      <w:r>
        <w:t>Windows沙箱阻止esbuild子进程（spawn EPERM）和Docker命名管道；按执行工具权限流程申请必要的本机执行权限后继续。权限请求没有改变项目范围。</w:t>
      </w:r>
    </w:p>
    <w:p>
      <w:pPr>
        <w:pStyle w:val="ListNumber"/>
      </w:pPr>
      <w:r>
        <w:t>类型检查发现Fastify的unknown/generic响应推断问题，添加明确请求类型与OrderRepository返回类型。</w:t>
      </w:r>
    </w:p>
    <w:p>
      <w:pPr>
        <w:pStyle w:val="ListNumber"/>
      </w:pPr>
      <w:r>
        <w:t>首次E2E售后流程在退出后出现两个“登录/注册”按钮，测试严格定位报错。限定到header后通过；未将该定位问题描述成业务故障。</w:t>
      </w:r>
    </w:p>
    <w:p>
      <w:pPr>
        <w:pStyle w:val="ListNumber"/>
      </w:pPr>
      <w:r>
        <w:t>图片首次鲈鱼路径返回404，改为使用Wikipedia API返回的实际文件URL；保留来源清单。</w:t>
      </w:r>
    </w:p>
    <w:p>
      <w:pPr>
        <w:pStyle w:val="ListNumber"/>
      </w:pPr>
      <w:r>
        <w:t>检查Docker镜像支持周期后，替换已结束社区维护的RabbitMQ示例版本与旧监控版本；锁定仍受维护的版本。</w:t>
      </w:r>
    </w:p>
    <w:p>
      <w:pPr>
        <w:pStyle w:val="ListNumber"/>
      </w:pPr>
      <w:r>
        <w:t>联网依赖审计发现Swagger UI静态资源模块的关联告警。升级至6.1.1后重新审计、构建，并回归两种数据库与浏览器流程，最终已知告警为0。</w:t>
      </w:r>
    </w:p>
    <w:p>
      <w:pPr>
        <w:pStyle w:val="ListNumber"/>
      </w:pPr>
      <w:r>
        <w:t>生成Word与PPT后，调用本机Office实际导出PDF和幻灯片图片；检查OOXML完整性、页面数量、图片与幻灯片边界。录屏初次选取车厘子时遗漏商品名称中的“JJ级”；多订单场景在付款刷新前定位到另一笔订单的售后按钮。分别修正完整名称、绑定下单响应的实际订单编号并等待付款状态更新后重新录制；这些是录屏脚本定位问题，没有将其写为商城业务故障。</w:t>
      </w:r>
    </w:p>
    <w:p>
      <w:r>
        <w:t>最终原始测试输出、依赖信息、HTTP测量和部署状态在 docs/evidence/。代码差异由源码与自动断言证明。尚未发生的人工修改/团队分工/生产发布须由团队补录，不填造结果。</w:t>
      </w:r>
    </w:p>
    <w:p>
      <w:r>
        <w:br w:type="page"/>
      </w:r>
    </w:p>
    <w:p>
      <w:pPr>
        <w:pStyle w:val="Heading1"/>
      </w:pPr>
      <w:r>
        <w:t>架构决策记录 ADR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/>
        </w:trPr>
        <w:tc>
          <w:tcPr>
            <w:tcW w:type="dxa" w:w="2016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/>
                <w:sz w:val="19"/>
              </w:rPr>
              <w:t>ADR</w:t>
            </w:r>
          </w:p>
        </w:tc>
        <w:tc>
          <w:tcPr>
            <w:tcW w:type="dxa" w:w="2016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/>
                <w:sz w:val="19"/>
              </w:rPr>
              <w:t>决策</w:t>
            </w:r>
          </w:p>
        </w:tc>
        <w:tc>
          <w:tcPr>
            <w:tcW w:type="dxa" w:w="2016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/>
                <w:sz w:val="19"/>
              </w:rPr>
              <w:t>采用理由</w:t>
            </w:r>
          </w:p>
        </w:tc>
        <w:tc>
          <w:tcPr>
            <w:tcW w:type="dxa" w:w="2016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/>
                <w:sz w:val="19"/>
              </w:rPr>
              <w:t>替代与限制</w:t>
            </w:r>
          </w:p>
        </w:tc>
        <w:tc>
          <w:tcPr>
            <w:tcW w:type="dxa" w:w="2016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/>
                <w:sz w:val="19"/>
              </w:rPr>
              <w:t>证据</w:t>
            </w:r>
          </w:p>
        </w:tc>
      </w:tr>
      <w:tr>
        <w:trPr>
          <w:cantSplit/>
        </w:trPr>
        <w:tc>
          <w:tcPr>
            <w:tcW w:type="dxa" w:w="2016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001</w:t>
            </w:r>
          </w:p>
        </w:tc>
        <w:tc>
          <w:tcPr>
            <w:tcW w:type="dxa" w:w="2016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模块化单体+独立React工程</w:t>
            </w:r>
          </w:p>
        </w:tc>
        <w:tc>
          <w:tcPr>
            <w:tcW w:type="dxa" w:w="2016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实验闭环在单数据库事务中更易验证；职能模块仍可拆分</w:t>
            </w:r>
          </w:p>
        </w:tc>
        <w:tc>
          <w:tcPr>
            <w:tcW w:type="dxa" w:w="2016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微服务需服务发现、跨服务事务、链路追踪；本期不引入</w:t>
            </w:r>
          </w:p>
        </w:tc>
        <w:tc>
          <w:tcPr>
            <w:tcW w:type="dxa" w:w="2016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api/src/modules、web/src</w:t>
            </w:r>
          </w:p>
        </w:tc>
      </w:tr>
      <w:tr>
        <w:trPr>
          <w:cantSplit/>
        </w:trPr>
        <w:tc>
          <w:tcPr>
            <w:tcW w:type="dxa" w:w="2016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002</w:t>
            </w:r>
          </w:p>
        </w:tc>
        <w:tc>
          <w:tcPr>
            <w:tcW w:type="dxa" w:w="2016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TypeScript/Fastify</w:t>
            </w:r>
          </w:p>
        </w:tc>
        <w:tc>
          <w:tcPr>
            <w:tcW w:type="dxa" w:w="2016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本机已有Node24，前后端易复现；JSON Schema与OpenAPI成熟</w:t>
            </w:r>
          </w:p>
        </w:tc>
        <w:tc>
          <w:tcPr>
            <w:tcW w:type="dxa" w:w="2016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教材Java/若依作为参考；不是原教材代码复制</w:t>
            </w:r>
          </w:p>
        </w:tc>
        <w:tc>
          <w:tcPr>
            <w:tcW w:type="dxa" w:w="2016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需求文档及依赖锁文件</w:t>
            </w:r>
          </w:p>
        </w:tc>
      </w:tr>
      <w:tr>
        <w:trPr>
          <w:cantSplit/>
        </w:trPr>
        <w:tc>
          <w:tcPr>
            <w:tcW w:type="dxa" w:w="2016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003</w:t>
            </w:r>
          </w:p>
        </w:tc>
        <w:tc>
          <w:tcPr>
            <w:tcW w:type="dxa" w:w="2016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PostgreSQL部署、SQLite本地开发</w:t>
            </w:r>
          </w:p>
        </w:tc>
        <w:tc>
          <w:tcPr>
            <w:tcW w:type="dxa" w:w="2016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主部署具备行锁与连接池；本地无需Docker先行即可演示</w:t>
            </w:r>
          </w:p>
        </w:tc>
        <w:tc>
          <w:tcPr>
            <w:tcW w:type="dxa" w:w="2016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SQLite不宣称生产并发能力；PG路径需独立验证</w:t>
            </w:r>
          </w:p>
        </w:tc>
        <w:tc>
          <w:tcPr>
            <w:tcW w:type="dxa" w:w="2016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database.ts、TEST_DATABASE_URL测试入口</w:t>
            </w:r>
          </w:p>
        </w:tc>
      </w:tr>
      <w:tr>
        <w:trPr>
          <w:cantSplit/>
        </w:trPr>
        <w:tc>
          <w:tcPr>
            <w:tcW w:type="dxa" w:w="2016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004</w:t>
            </w:r>
          </w:p>
        </w:tc>
        <w:tc>
          <w:tcPr>
            <w:tcW w:type="dxa" w:w="2016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条件扣库存+用户/订单行锁</w:t>
            </w:r>
          </w:p>
        </w:tc>
        <w:tc>
          <w:tcPr>
            <w:tcW w:type="dxa" w:w="2016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将防超卖、重复下单、付款取消竞争限制在同事务中</w:t>
            </w:r>
          </w:p>
        </w:tc>
        <w:tc>
          <w:tcPr>
            <w:tcW w:type="dxa" w:w="2016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Redis预扣/分布式锁不作为账务依据</w:t>
            </w:r>
          </w:p>
        </w:tc>
        <w:tc>
          <w:tcPr>
            <w:tcW w:type="dxa" w:w="2016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并发争抢及付款取消测试</w:t>
            </w:r>
          </w:p>
        </w:tc>
      </w:tr>
      <w:tr>
        <w:trPr>
          <w:cantSplit/>
        </w:trPr>
        <w:tc>
          <w:tcPr>
            <w:tcW w:type="dxa" w:w="2016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005</w:t>
            </w:r>
          </w:p>
        </w:tc>
        <w:tc>
          <w:tcPr>
            <w:tcW w:type="dxa" w:w="2016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事务Outbox+RabbitMQ</w:t>
            </w:r>
          </w:p>
        </w:tc>
        <w:tc>
          <w:tcPr>
            <w:tcW w:type="dxa" w:w="2016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不要求数据库与MQ分布式提交；消费去重处理重复投递</w:t>
            </w:r>
          </w:p>
        </w:tc>
        <w:tc>
          <w:tcPr>
            <w:tcW w:type="dxa" w:w="2016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不是跨数据库Saga/TCC；处理失败进入DLQ</w:t>
            </w:r>
          </w:p>
        </w:tc>
        <w:tc>
          <w:tcPr>
            <w:tcW w:type="dxa" w:w="2016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runtime.ts、Outbox失败重试测试</w:t>
            </w:r>
          </w:p>
        </w:tc>
      </w:tr>
      <w:tr>
        <w:trPr>
          <w:cantSplit/>
        </w:trPr>
        <w:tc>
          <w:tcPr>
            <w:tcW w:type="dxa" w:w="2016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006</w:t>
            </w:r>
          </w:p>
        </w:tc>
        <w:tc>
          <w:tcPr>
            <w:tcW w:type="dxa" w:w="2016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Redis商品读缓存</w:t>
            </w:r>
          </w:p>
        </w:tc>
        <w:tc>
          <w:tcPr>
            <w:tcW w:type="dxa" w:w="2016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高频读可缓存，库存/价格下单时仍读取数据库</w:t>
            </w:r>
          </w:p>
        </w:tc>
        <w:tc>
          <w:tcPr>
            <w:tcW w:type="dxa" w:w="2016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缓存30秒内可短暂落后，失效故障不阻断业务</w:t>
            </w:r>
          </w:p>
        </w:tc>
        <w:tc>
          <w:tcPr>
            <w:tcW w:type="dxa" w:w="2016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CatalogService与共享版本</w:t>
            </w:r>
          </w:p>
        </w:tc>
      </w:tr>
      <w:tr>
        <w:trPr>
          <w:cantSplit/>
        </w:trPr>
        <w:tc>
          <w:tcPr>
            <w:tcW w:type="dxa" w:w="2016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007</w:t>
            </w:r>
          </w:p>
        </w:tc>
        <w:tc>
          <w:tcPr>
            <w:tcW w:type="dxa" w:w="2016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JWT主体+请求时读取RBAC</w:t>
            </w:r>
          </w:p>
        </w:tc>
        <w:tc>
          <w:tcPr>
            <w:tcW w:type="dxa" w:w="2016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修改权限不等待JWT过期；注册永远会员</w:t>
            </w:r>
          </w:p>
        </w:tc>
        <w:tc>
          <w:tcPr>
            <w:tcW w:type="dxa" w:w="2016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无refresh token、SSO或OAuth登录</w:t>
            </w:r>
          </w:p>
        </w:tc>
        <w:tc>
          <w:tcPr>
            <w:tcW w:type="dxa" w:w="2016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role revocation测试</w:t>
            </w:r>
          </w:p>
        </w:tc>
      </w:tr>
      <w:tr>
        <w:trPr>
          <w:cantSplit/>
        </w:trPr>
        <w:tc>
          <w:tcPr>
            <w:tcW w:type="dxa" w:w="2016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008</w:t>
            </w:r>
          </w:p>
        </w:tc>
        <w:tc>
          <w:tcPr>
            <w:tcW w:type="dxa" w:w="2016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生鲜已发货不回库存</w:t>
            </w:r>
          </w:p>
        </w:tc>
        <w:tc>
          <w:tcPr>
            <w:tcW w:type="dxa" w:w="2016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退款商品存在冷链与品质风险，避免重新销售</w:t>
            </w:r>
          </w:p>
        </w:tc>
        <w:tc>
          <w:tcPr>
            <w:tcW w:type="dxa" w:w="2016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未建立批次与损耗账；本期整单售后一次</w:t>
            </w:r>
          </w:p>
        </w:tc>
        <w:tc>
          <w:tcPr>
            <w:tcW w:type="dxa" w:w="2016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已配送退款不回库存测试</w:t>
            </w:r>
          </w:p>
        </w:tc>
      </w:tr>
      <w:tr>
        <w:trPr>
          <w:cantSplit/>
        </w:trPr>
        <w:tc>
          <w:tcPr>
            <w:tcW w:type="dxa" w:w="2016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009</w:t>
            </w:r>
          </w:p>
        </w:tc>
        <w:tc>
          <w:tcPr>
            <w:tcW w:type="dxa" w:w="2016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已收货且无售后才结算</w:t>
            </w:r>
          </w:p>
        </w:tc>
        <w:tc>
          <w:tcPr>
            <w:tcW w:type="dxa" w:w="2016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退款与结算锁同订单；避免当前沙箱账务重复</w:t>
            </w:r>
          </w:p>
        </w:tc>
        <w:tc>
          <w:tcPr>
            <w:tcW w:type="dxa" w:w="2016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已结算后售后人工处理；多商家账务未实现</w:t>
            </w:r>
          </w:p>
        </w:tc>
        <w:tc>
          <w:tcPr>
            <w:tcW w:type="dxa" w:w="2016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重复结算与售后冻结测试</w:t>
            </w:r>
          </w:p>
        </w:tc>
      </w:tr>
      <w:tr>
        <w:trPr>
          <w:cantSplit/>
        </w:trPr>
        <w:tc>
          <w:tcPr>
            <w:tcW w:type="dxa" w:w="2016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010</w:t>
            </w:r>
          </w:p>
        </w:tc>
        <w:tc>
          <w:tcPr>
            <w:tcW w:type="dxa" w:w="2016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Docker Compose+Nginx+指标</w:t>
            </w:r>
          </w:p>
        </w:tc>
        <w:tc>
          <w:tcPr>
            <w:tcW w:type="dxa" w:w="2016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符合实验复现、监控和运维要求，依赖外置配置</w:t>
            </w:r>
          </w:p>
        </w:tc>
        <w:tc>
          <w:tcPr>
            <w:tcW w:type="dxa" w:w="2016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Kubernetes/多区域HA/TLS证书属于后续生产工程</w:t>
            </w:r>
          </w:p>
        </w:tc>
        <w:tc>
          <w:tcPr>
            <w:tcW w:type="dxa" w:w="2016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compose、infra、运维脚本</w:t>
            </w:r>
          </w:p>
        </w:tc>
      </w:tr>
    </w:tbl>
    <w:p/>
    <w:p>
      <w:r>
        <w:t>版本策略：npm以package-lock锁定；容器使用明确版本标签或受维护大版本补丁通道；公网发布前应记录digest并重做依赖/镜像扫描。Prometheus与RabbitMQ版本在2026-10-06参照官方生命周期更新，见设计文档参考链接。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微软雅黑"/>
        <w:color w:val="68868D"/>
        <w:sz w:val="16"/>
      </w:rPr>
      <w:t xml:space="preserve">FreshMarket · 2026-10-06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YaHei" w:hAnsi="Microsoft YaHei" w:eastAsia="微软雅黑"/>
        <w:color w:val="68868D"/>
        <w:sz w:val="18"/>
      </w:rPr>
      <w:t>鲜境 FreshMarket  /  AI辅助软件开发实践 · 实验四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/>
    </w:pPr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87F83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87F8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87F8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微软雅黑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微软雅黑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微软雅黑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鲜境 FreshMarket AI过程与决策记录</dc:title>
  <dc:subject/>
  <dc:creator>FreshMarket 项目交付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