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Strategiepapier: Geschäftsführungsvorlage (fiktiv)</w:t>
      </w:r>
    </w:p>
    <w:p>
      <w:pPr>
        <w:spacing w:after="300"/>
      </w:pPr>
      <w:r>
        <w:rPr>
          <w:i/>
          <w:iCs/>
          <w:color w:val="444444"/>
        </w:rPr>
        <w:t xml:space="preserve">Streng vertrauliche interne Informationen — ausschließlich Leadership</w:t>
      </w:r>
    </w:p>
    <w:p>
      <w:pPr>
        <w:spacing w:after="200"/>
      </w:pPr>
      <w:r>
        <w:t xml:space="preserve">Dieses fiktive Strategiepapier ist ausschließlich für die Verwendung durch Leadership vorgesehen und dient der Demonstration des Labels „Strictly-Confidential-Intern“.</w:t>
      </w:r>
    </w:p>
    <w:p>
      <w:pPr>
        <w:spacing w:after="200"/>
      </w:pPr>
      <w:r>
        <w:t xml:space="preserve">Alle Inhalte, Ziele und Kennzahlen sind erfunden. Das Dokument zeigt die Wirkung der RMS-Rechte (Vollzugriff ausschließlich Leadership, kein Offlinezugriff) sowie das Verhalten bei internem Teilen mit Benutzern ohne Leadership-Mitgliedschaft.</w:t>
      </w:r>
    </w:p>
    <w:p>
      <w:pPr>
        <w:spacing w:after="200"/>
      </w:pPr>
      <w:r>
        <w:t xml:space="preserve">Fiktiver Punkt: „Strategischer Testschwerpunkt TEST-Bereich für das kommende Testjahr.“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Strictly-Confidential-Intern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DLP-Demo-Strictly-Confidential-Intern-01.docx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7–8, Demo 3, Testplan 16.4 (Alex Wilber)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2026-08-28T18:57:55.699Z</dcterms:created>
  <dcterms:modified xsi:type="dcterms:W3CDTF">2026-08-28T18:57:55.699Z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