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</w:p>
    <w:p>
      <w:pPr>
        <w:jc w:val="center"/>
      </w:pPr>
      <w:r>
        <w:rPr>
          <w:b/>
          <w:bCs/>
          <w:color w:val="1F4E5F"/>
          <w:sz w:val="64"/>
          <w:szCs w:val="64"/>
        </w:rPr>
        <w:t xml:space="preserve">Demo-Runbook</w:t>
      </w:r>
    </w:p>
    <w:p>
      <w:pPr>
        <w:spacing w:after="800" w:before="200"/>
        <w:jc w:val="center"/>
      </w:pPr>
      <w:r>
        <w:rPr>
          <w:color w:val="444444"/>
          <w:sz w:val="30"/>
          <w:szCs w:val="30"/>
        </w:rPr>
        <w:t xml:space="preserve">Microsoft Purview Sensitivity Labels, RMS und DLP — Use-Case-Demos</w:t>
      </w:r>
    </w:p>
    <w:p>
      <w:pPr>
        <w:jc w:val="center"/>
      </w:pPr>
      <w:r>
        <w:rPr>
          <w:i/>
          <w:iCs/>
          <w:sz w:val="20"/>
          <w:szCs w:val="20"/>
        </w:rPr>
        <w:t xml:space="preserve">Grundlage: UseCaseKontext.md · UseCase-Matrix-Label-Freigaben-RMS.md · UseCase-Matrix-M365-DLP-Demos.md</w:t>
      </w:r>
    </w:p>
    <w:p>
      <w:pPr>
        <w:spacing w:before="80"/>
        <w:jc w:val="center"/>
      </w:pPr>
      <w:r>
        <w:rPr>
          <w:i/>
          <w:iCs/>
          <w:sz w:val="20"/>
          <w:szCs w:val="20"/>
        </w:rPr>
        <w:t xml:space="preserve">Tenant-Inventur und Gruppenmitglieder vom 2026-08-28</w:t>
      </w:r>
    </w:p>
    <w:p>
      <w:pPr>
        <w:spacing w:before="600"/>
        <w:jc w:val="center"/>
      </w:pPr>
      <w:r>
        <w:rPr>
          <w:b/>
          <w:bCs/>
          <w:color w:val="B7791F"/>
          <w:sz w:val="20"/>
          <w:szCs w:val="20"/>
        </w:rPr>
        <w:t xml:space="preserve">Nur produktive Labels ohne „Test-“-Präfix. Ausschließlich künstliche Testdokumente verwenden — keine echten vertraulichen Legal-, Finance- oder Personaldaten.</w:t>
      </w:r>
    </w:p>
    <w:p>
      <w:r>
        <w:br w:type="page"/>
      </w:r>
    </w:p>
    <w:p>
      <w:pPr>
        <w:pStyle w:val="Heading1"/>
        <w:spacing w:after="160" w:before="400"/>
      </w:pPr>
      <w:r>
        <w:t xml:space="preserve">1. Zweck und Nutzung dieses Runbooks</w:t>
      </w:r>
    </w:p>
    <w:p>
      <w:pPr>
        <w:spacing w:after="120"/>
      </w:pPr>
      <w:r>
        <w:t xml:space="preserve">Dieses Runbook fasst die drei Use-Case-Matrizen zu einem ausführbaren Testablauf zusammen. Es ist nach Testpersonen bzw. Testsitzungen gegliedert. Jede Sitzung nennt das zu verwendende Testkonto, die passenden künstlichen Testdokumente (siehe separat gelieferte .docx-Dateien mit Namensschema DLP-Demo-&lt;Label&gt;-01.docx), die konkreten Schritte sowie das erwartete Ergebnis inklusive der im Purview-Portal zu prüfenden Regel.</w:t>
      </w:r>
    </w:p>
    <w:p>
      <w:pPr>
        <w:pBdr>
          <w:left w:val="single" w:color="B7791F" w:sz="18" w:space="6"/>
        </w:pBdr>
        <w:shd w:fill="FDF3E0" w:val="clear"/>
        <w:spacing w:after="200" w:before="80"/>
      </w:pPr>
      <w:r>
        <w:rPr>
          <w:i/>
          <w:iCs/>
          <w:sz w:val="20"/>
          <w:szCs w:val="20"/>
        </w:rPr>
        <w:t xml:space="preserve">Vor Beginn: Prüfen, dass Finance Team und Legal Team im Tenant weiterhin als Verteilergruppen geführt werden, während die Publishing Policies aktuell ModernGroupLocation referenzieren (siehe UseCaseKontext.md, Abschnitt 2 und Abschnitt 6, Punkt 1). Dies kann dazu führen, dass Legal- bzw. Finance-Standardlabels im Client nicht wie erwartet erscheinen — vor der Demo mit einem Pilotkonto bestätigen.</w:t>
      </w:r>
    </w:p>
    <w:p>
      <w:pPr>
        <w:pStyle w:val="Heading2"/>
        <w:spacing w:after="120" w:before="280"/>
      </w:pPr>
      <w:r>
        <w:t xml:space="preserve">1.1 Testkonten im Überblick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3500"/>
        <w:gridCol w:w="1350"/>
      </w:tblGrid>
      <w:tr>
        <w:trPr>
          <w:tblHeader/>
        </w:trPr>
        <w:tc>
          <w:tcPr>
            <w:tcW w:type="dxa" w:w="22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Rolle</w:t>
            </w:r>
          </w:p>
        </w:tc>
        <w:tc>
          <w:tcPr>
            <w:tcW w:type="dxa" w:w="23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Benutzer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 (UPN)</w:t>
            </w:r>
          </w:p>
        </w:tc>
        <w:tc>
          <w:tcPr>
            <w:tcW w:type="dxa" w:w="13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Verifizierte Gruppe</w:t>
            </w:r>
          </w:p>
        </w:tc>
      </w:tr>
      <w:tr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Baseline-Pilot</w:t>
            </w:r>
          </w:p>
        </w:tc>
        <w:tc>
          <w:tcPr>
            <w:tcW w:type="dxa" w:w="2300"/>
          </w:tcPr>
          <w:p>
            <w:r>
              <w:rPr>
                <w:sz w:val="19"/>
                <w:szCs w:val="19"/>
              </w:rPr>
              <w:t xml:space="preserve">Christie Cline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ChristieC@M365DS410216.OnMicrosoft.com</w:t>
            </w:r>
          </w:p>
        </w:tc>
        <w:tc>
          <w:tcPr>
            <w:tcW w:type="dxa" w:w="1350"/>
          </w:tcPr>
          <w:p>
            <w:r>
              <w:rPr>
                <w:sz w:val="19"/>
                <w:szCs w:val="19"/>
              </w:rPr>
              <w:t xml:space="preserve">Keine der drei Fachgruppen</w:t>
            </w:r>
          </w:p>
        </w:tc>
      </w:tr>
      <w:tr>
        <w:tc>
          <w:tcPr>
            <w:tcW w:type="dxa" w:w="2200"/>
            <w:shd w:fill="F5F7F8" w:val="clear"/>
          </w:tcPr>
          <w:p>
            <w:r>
              <w:rPr>
                <w:sz w:val="19"/>
                <w:szCs w:val="19"/>
              </w:rPr>
              <w:t xml:space="preserve">Finance-Pilot</w:t>
            </w:r>
          </w:p>
        </w:tc>
        <w:tc>
          <w:tcPr>
            <w:tcW w:type="dxa" w:w="2300"/>
            <w:shd w:fill="F5F7F8" w:val="clear"/>
          </w:tcPr>
          <w:p>
            <w:r>
              <w:rPr>
                <w:sz w:val="19"/>
                <w:szCs w:val="19"/>
              </w:rPr>
              <w:t xml:space="preserve">Debra Berger</w:t>
            </w:r>
          </w:p>
        </w:tc>
        <w:tc>
          <w:tcPr>
            <w:tcW w:type="dxa" w:w="3500"/>
            <w:shd w:fill="F5F7F8" w:val="clear"/>
          </w:tcPr>
          <w:p>
            <w:r>
              <w:rPr>
                <w:sz w:val="19"/>
                <w:szCs w:val="19"/>
              </w:rPr>
              <w:t xml:space="preserve">DebraB@M365DS410216.OnMicrosoft.com</w:t>
            </w:r>
          </w:p>
        </w:tc>
        <w:tc>
          <w:tcPr>
            <w:tcW w:type="dxa" w:w="1350"/>
            <w:shd w:fill="F5F7F8" w:val="clear"/>
          </w:tcPr>
          <w:p>
            <w:r>
              <w:rPr>
                <w:sz w:val="19"/>
                <w:szCs w:val="19"/>
              </w:rPr>
              <w:t xml:space="preserve">Finance Team, Leadership</w:t>
            </w:r>
          </w:p>
        </w:tc>
      </w:tr>
      <w:tr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Legal-Pilot</w:t>
            </w:r>
          </w:p>
        </w:tc>
        <w:tc>
          <w:tcPr>
            <w:tcW w:type="dxa" w:w="2300"/>
          </w:tcPr>
          <w:p>
            <w:r>
              <w:rPr>
                <w:sz w:val="19"/>
                <w:szCs w:val="19"/>
              </w:rPr>
              <w:t xml:space="preserve">Grady Archie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GradyA@M365DS410216.OnMicrosoft.com</w:t>
            </w:r>
          </w:p>
        </w:tc>
        <w:tc>
          <w:tcPr>
            <w:tcW w:type="dxa" w:w="1350"/>
          </w:tcPr>
          <w:p>
            <w:r>
              <w:rPr>
                <w:sz w:val="19"/>
                <w:szCs w:val="19"/>
              </w:rPr>
              <w:t xml:space="preserve">Legal Team</w:t>
            </w:r>
          </w:p>
        </w:tc>
      </w:tr>
      <w:tr>
        <w:tc>
          <w:tcPr>
            <w:tcW w:type="dxa" w:w="2200"/>
            <w:shd w:fill="F5F7F8" w:val="clear"/>
          </w:tcPr>
          <w:p>
            <w:r>
              <w:rPr>
                <w:sz w:val="19"/>
                <w:szCs w:val="19"/>
              </w:rPr>
              <w:t xml:space="preserve">Leadership-Pilot</w:t>
            </w:r>
          </w:p>
        </w:tc>
        <w:tc>
          <w:tcPr>
            <w:tcW w:type="dxa" w:w="2300"/>
            <w:shd w:fill="F5F7F8" w:val="clear"/>
          </w:tcPr>
          <w:p>
            <w:r>
              <w:rPr>
                <w:sz w:val="19"/>
                <w:szCs w:val="19"/>
              </w:rPr>
              <w:t xml:space="preserve">Alex Wilber</w:t>
            </w:r>
          </w:p>
        </w:tc>
        <w:tc>
          <w:tcPr>
            <w:tcW w:type="dxa" w:w="3500"/>
            <w:shd w:fill="F5F7F8" w:val="clear"/>
          </w:tcPr>
          <w:p>
            <w:r>
              <w:rPr>
                <w:sz w:val="19"/>
                <w:szCs w:val="19"/>
              </w:rPr>
              <w:t xml:space="preserve">AlexW@M365DS410216.OnMicrosoft.com</w:t>
            </w:r>
          </w:p>
        </w:tc>
        <w:tc>
          <w:tcPr>
            <w:tcW w:type="dxa" w:w="1350"/>
            <w:shd w:fill="F5F7F8" w:val="clear"/>
          </w:tcPr>
          <w:p>
            <w:r>
              <w:rPr>
                <w:sz w:val="19"/>
                <w:szCs w:val="19"/>
              </w:rPr>
              <w:t xml:space="preserve">Leadership</w:t>
            </w:r>
          </w:p>
        </w:tc>
      </w:tr>
      <w:tr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Administration</w:t>
            </w:r>
          </w:p>
        </w:tc>
        <w:tc>
          <w:tcPr>
            <w:tcW w:type="dxa" w:w="2300"/>
          </w:tcPr>
          <w:p>
            <w:r>
              <w:rPr>
                <w:sz w:val="19"/>
                <w:szCs w:val="19"/>
              </w:rPr>
              <w:t xml:space="preserve">MOD Administrator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admin@M365DS410216.onmicrosoft.com</w:t>
            </w:r>
          </w:p>
        </w:tc>
        <w:tc>
          <w:tcPr>
            <w:tcW w:type="dxa" w:w="1350"/>
          </w:tcPr>
          <w:p>
            <w:r>
              <w:rPr>
                <w:sz w:val="19"/>
                <w:szCs w:val="19"/>
              </w:rPr>
              <w:t xml:space="preserve">Leadership (nur Portalprüfung)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Weitere bestätigte Gruppenmitglieder (für zusätzliche Kontrolltests):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Finance Team: Pradeep Gupta, Megan Bowen, Lynne Robbins, Diego Siciliani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Legal Team: Joni Sherman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Leadership: MOD Administrator, Patti Fernandez, Joni Sherman, Nestor Wilke, Isaiah Langer, Adele Vance, Irvin Sayers, Lee Gu, Megan Bowen, Lynne Robbins, Lidia Holloway, Miriam Graham</w:t>
      </w:r>
    </w:p>
    <w:p>
      <w:pPr>
        <w:pStyle w:val="Heading2"/>
        <w:spacing w:after="120" w:before="280"/>
      </w:pPr>
      <w:r>
        <w:t xml:space="preserve">1.2 Externe Testempfänger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50"/>
      </w:tblGrid>
      <w:tr>
        <w:trPr>
          <w:tblHeader/>
        </w:trPr>
        <w:tc>
          <w:tcPr>
            <w:tcW w:type="dxa" w:w="32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Testempfänger</w:t>
            </w:r>
          </w:p>
        </w:tc>
        <w:tc>
          <w:tcPr>
            <w:tcW w:type="dxa" w:w="32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Verwendung</w:t>
            </w:r>
          </w:p>
        </w:tc>
        <w:tc>
          <w:tcPr>
            <w:tcW w:type="dxa" w:w="29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Hinweis</w:t>
            </w:r>
          </w:p>
        </w:tc>
      </w:tr>
      <w:tr>
        <w:tc>
          <w:tcPr>
            <w:tcW w:type="dxa" w:w="3200"/>
          </w:tcPr>
          <w:p>
            <w:r>
              <w:rPr>
                <w:sz w:val="19"/>
                <w:szCs w:val="19"/>
              </w:rPr>
              <w:t xml:space="preserve">Externe Testadresse außerhalb des Tenants</w:t>
            </w:r>
          </w:p>
        </w:tc>
        <w:tc>
          <w:tcPr>
            <w:tcW w:type="dxa" w:w="3200"/>
          </w:tcPr>
          <w:p>
            <w:r>
              <w:rPr>
                <w:sz w:val="19"/>
                <w:szCs w:val="19"/>
              </w:rPr>
              <w:t xml:space="preserve">SharePoint-/OneDrive-Freigabe und externe E-Mail</w:t>
            </w:r>
          </w:p>
        </w:tc>
        <w:tc>
          <w:tcPr>
            <w:tcW w:type="dxa" w:w="2950"/>
          </w:tcPr>
          <w:p>
            <w:r>
              <w:rPr>
                <w:sz w:val="19"/>
                <w:szCs w:val="19"/>
              </w:rPr>
              <w:t xml:space="preserve">Keine interne Gruppenmitgliedschaft</w:t>
            </w:r>
          </w:p>
        </w:tc>
      </w:tr>
      <w:tr>
        <w:tc>
          <w:tcPr>
            <w:tcW w:type="dxa" w:w="3200"/>
            <w:shd w:fill="F5F7F8" w:val="clear"/>
          </w:tcPr>
          <w:p>
            <w:r>
              <w:rPr>
                <w:sz w:val="19"/>
                <w:szCs w:val="19"/>
              </w:rPr>
              <w:t xml:space="preserve">user@pm.me bzw. kontrollierte pm.me-Adresse</w:t>
            </w:r>
          </w:p>
        </w:tc>
        <w:tc>
          <w:tcPr>
            <w:tcW w:type="dxa" w:w="3200"/>
            <w:shd w:fill="F5F7F8" w:val="clear"/>
          </w:tcPr>
          <w:p>
            <w:r>
              <w:rPr>
                <w:sz w:val="19"/>
                <w:szCs w:val="19"/>
              </w:rPr>
              <w:t xml:space="preserve">Proton-Mail-Regel</w:t>
            </w:r>
          </w:p>
        </w:tc>
        <w:tc>
          <w:tcPr>
            <w:tcW w:type="dxa" w:w="2950"/>
            <w:shd w:fill="F5F7F8" w:val="clear"/>
          </w:tcPr>
          <w:p>
            <w:r>
              <w:rPr>
                <w:sz w:val="19"/>
                <w:szCs w:val="19"/>
              </w:rPr>
              <w:t xml:space="preserve">Nur mit Genehmigung und Testdaten verwenden</w:t>
            </w:r>
          </w:p>
        </w:tc>
      </w:tr>
      <w:tr>
        <w:tc>
          <w:tcPr>
            <w:tcW w:type="dxa" w:w="3200"/>
          </w:tcPr>
          <w:p>
            <w:r>
              <w:rPr>
                <w:sz w:val="19"/>
                <w:szCs w:val="19"/>
              </w:rPr>
              <w:t xml:space="preserve">Interne Testadresse von Christie Cline</w:t>
            </w:r>
          </w:p>
        </w:tc>
        <w:tc>
          <w:tcPr>
            <w:tcW w:type="dxa" w:w="3200"/>
          </w:tcPr>
          <w:p>
            <w:r>
              <w:rPr>
                <w:sz w:val="19"/>
                <w:szCs w:val="19"/>
              </w:rPr>
              <w:t xml:space="preserve">Positiver interner Kontrolltest</w:t>
            </w:r>
          </w:p>
        </w:tc>
        <w:tc>
          <w:tcPr>
            <w:tcW w:type="dxa" w:w="2950"/>
          </w:tcPr>
          <w:p>
            <w:r>
              <w:rPr>
                <w:sz w:val="19"/>
                <w:szCs w:val="19"/>
              </w:rPr>
              <w:t xml:space="preserve">Prüft, dass interne Zusammenarbeit möglich bleibt</w:t>
            </w:r>
          </w:p>
        </w:tc>
      </w:tr>
    </w:tbl>
    <w:p>
      <w:pPr>
        <w:pStyle w:val="Heading2"/>
        <w:spacing w:after="120" w:before="280"/>
      </w:pPr>
      <w:r>
        <w:t xml:space="preserve">1.3 Vorbereitung je Sitzung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Pilotbenutzer und Testprofil auswählen und Gruppenmitgliedschaft bestätigen.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Passendes künstliches Testdokument aus dem Ordner „Demo-Testdokumente“ öffnen (nicht neu mit echten Daten befüllen).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Interne und externe Testadresse bereitlegen.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Testzeitpunkt und erwartetes Ergebnis im Testprotokoll (separate Excel-Datei) eintragen, bevor der Datenfluss ausgelöst wird.</w:t>
      </w:r>
    </w:p>
    <w:p>
      <w:r>
        <w:br w:type="page"/>
      </w:r>
    </w:p>
    <w:p>
      <w:pPr>
        <w:pStyle w:val="Heading1"/>
        <w:spacing w:after="160" w:before="400"/>
      </w:pPr>
      <w:r>
        <w:t xml:space="preserve">2. Sitzung 1 — Baseline ohne Fachgruppe (Christie Cline)</w:t>
      </w:r>
    </w:p>
    <w:p>
      <w:pPr>
        <w:pStyle w:val="Heading2"/>
        <w:spacing w:after="120" w:before="280"/>
      </w:pPr>
      <w:r>
        <w:t xml:space="preserve">2.1 General-Intern: intern erlaubt, extern blockiert</w:t>
      </w:r>
    </w:p>
    <w:p>
      <w:pPr>
        <w:spacing w:after="120"/>
      </w:pPr>
      <w:r>
        <w:rPr>
          <w:i/>
          <w:iCs/>
        </w:rPr>
        <w:t xml:space="preserve">Ziel: Verhalten eines normalen Benutzers ohne Fachgruppenmitgliedschaft feststellen; Grundverhalten von General-Intern zeigen (Demo A/C, Testplan 16.1).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Christie Cline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ChristieC@M365DS410216.OnMicrosoft.com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Keine Mitgliedschaft in Finance Team, Legal Team oder 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DLP-Demo-General-Intern-01.docx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ChristieC@M365DS410216.OnMicrosoft.com anmelden.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Prüfen, welche produktiven Labels im Office-Client angezeigt werden.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DLP-Demo-General-Intern-01.docx öffnen und Label „General-Intern“ anwenden.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Dokument in SharePoint/OneDrive speichern und intern mit einer Testadresse teilen (positiver Kontrolltest).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Dasselbe Dokument mit einer externen Testadresse teilen.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Ergebnis im Testprotokoll dokumentieren und mit Finance- und Leadership-Sitzung vergleichen.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Internes Teilen ist möglich.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Externes Teilen wird blockiert, Policy Tip und Alert werden erzeugt.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sharing outside org (SPO/ODB)</w:t>
      </w:r>
    </w:p>
    <w:p>
      <w:pPr>
        <w:pStyle w:val="Heading2"/>
        <w:spacing w:after="120" w:before="280"/>
      </w:pPr>
      <w:r>
        <w:t xml:space="preserve">2.2 Public als positiver Kontrolltest</w:t>
      </w:r>
    </w:p>
    <w:p>
      <w:pPr>
        <w:spacing w:after="120"/>
      </w:pPr>
      <w:r>
        <w:rPr>
          <w:i/>
          <w:iCs/>
        </w:rPr>
        <w:t xml:space="preserve">Ziel: Zeigen, dass unklassifizierte/öffentliche Inhalte ohne Blockierung extern geteilt werden können, als Gegenprobe zu 2.1.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Christie Cline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ChristieC@M365DS410216.OnMicrosoft.com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Keine Mitgliedschaft in Finance Team, Legal Team oder 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DLP-Demo-Public-01.docx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DLP-Demo-Public-01.docx mit Label „Public“ kennzeichnen.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Dokument über einen externen Link freigeben.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Freigabe wird ohne DLP-Blockierung ausgeführt (kein passender Blockregel-Treffer).</w:t>
      </w:r>
    </w:p>
    <w:p>
      <w:pPr>
        <w:pStyle w:val="Heading2"/>
        <w:spacing w:after="120" w:before="280"/>
      </w:pPr>
      <w:r>
        <w:t xml:space="preserve">2.3 General-Intern per E-Mail extern (Verschlüsselung statt Blockierung)</w:t>
      </w:r>
    </w:p>
    <w:p>
      <w:pPr>
        <w:spacing w:after="120"/>
      </w:pPr>
      <w:r>
        <w:rPr>
          <w:i/>
          <w:iCs/>
        </w:rPr>
        <w:t xml:space="preserve">Ziel: Unterschied zwischen Blockierung (Datei) und Verschlüsselung (E-Mail) für dasselbe Label zeigen (Demo C).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Christie Cline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ChristieC@M365DS410216.OnMicrosoft.com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Keine Mitgliedschaft in Finance Team, Legal Team oder 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DLP-Demo-General-Intern-01.docx (als Anhang oder Nachrichtentext)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Neue E-Mail mit Bezug auf General-Intern-Inhalt erstellen.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 externe Testadresse senden.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Policy-Tip-Dialog beobachten und Ergebnis dokumentieren.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RMS-Verschlüsselung mit „Confidential \\ All Employees“, Policy-Tip-Dialog, weitere Policy-Verarbeitung stoppt.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Encryption (EXO)</w:t>
      </w:r>
    </w:p>
    <w:p>
      <w:pPr>
        <w:pStyle w:val="Heading2"/>
        <w:spacing w:after="120" w:before="280"/>
      </w:pPr>
      <w:r>
        <w:t xml:space="preserve">2.4 Proton-Mail-Sonderfall</w:t>
      </w:r>
    </w:p>
    <w:p>
      <w:pPr>
        <w:spacing w:after="120"/>
      </w:pPr>
      <w:r>
        <w:rPr>
          <w:i/>
          <w:iCs/>
        </w:rPr>
        <w:t xml:space="preserve">Ziel: Domainbasierte DLP-Erkennung für sensible Labels zeigen und mit anderer externer Domain vergleichen (Demo E).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Christie Cline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ChristieC@M365DS410216.OnMicrosoft.com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Keine Mitgliedschaft in Finance Team, Legal Team oder 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Beliebiges Testdokument mit produktivem, sensiblem Label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E-Mail mit einem sensiblen produktiven Label erstellen.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 user@pm.me senden.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Versand an eine andere externe Testdomain vergleichen.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Portalzugriff, Alert und Policy Tip; weitere Verarbeitung stoppt.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Recipient domain is proton mail - needs approval (EXO)</w:t>
      </w:r>
    </w:p>
    <w:p>
      <w:r>
        <w:br w:type="page"/>
      </w:r>
    </w:p>
    <w:p>
      <w:pPr>
        <w:pStyle w:val="Heading1"/>
        <w:spacing w:after="160" w:before="400"/>
      </w:pPr>
      <w:r>
        <w:t xml:space="preserve">3. Sitzung 2 — Finance (Debra Berger)</w:t>
      </w:r>
    </w:p>
    <w:p>
      <w:pPr>
        <w:pStyle w:val="Heading2"/>
        <w:spacing w:after="120" w:before="280"/>
      </w:pPr>
      <w:r>
        <w:t xml:space="preserve">3.1 Confidential-Finance: Rechte- und DLP-Wirkung</w:t>
      </w:r>
    </w:p>
    <w:p>
      <w:pPr>
        <w:spacing w:after="120"/>
      </w:pPr>
      <w:r>
        <w:rPr>
          <w:i/>
          <w:iCs/>
        </w:rPr>
        <w:t xml:space="preserve">Ziel: Confidential-Finance sowie Finance-/Leadership-Rechte prüfen (Demo B, Demo F, Testplan 16.2).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Debra Berger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DebraB@M365DS410216.OnMicrosoft.com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Finance Team, 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DLP-Demo-Finance-01.docx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DebraB@M365DS410216.OnMicrosoft.com anmelden.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DLP-Demo-Finance-01.docx mit Label „Confidential-Finance“ kennzeichnen.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Datei intern öffnen und bearbeiten (Vollzugriff erwartet).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Datei mit einem Leadership-Mitglied (z. B. Alex Wilber) teilen.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Datei mit einem Benutzer außerhalb der berechtigten Gruppen teilen (z. B. Grady Archie).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Datei extern (Testadresse) freigeben.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Prüfen, ob die Publishing Policy für Finance technisch auf die Verteilergruppe FinanceTeam@M365DS410216.onmicrosoft.com angewendet werden kann.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Finance Team: Öffnen, Bearbeiten, Drucken, Weiterleiten/Export erlaubt; kein Offlinezugriff.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Leadership: Öffnen erlaubt, Bearbeiten/Export laut Definition nicht vorgesehen.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Legal Team/andere: kein Zugriff durch Labelrechte.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 Freigabe: blockiert.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sharing outside org (SPO/ODB)</w:t>
      </w:r>
    </w:p>
    <w:p>
      <w:pPr>
        <w:pStyle w:val="Heading2"/>
        <w:spacing w:after="120" w:before="280"/>
      </w:pPr>
      <w:r>
        <w:t xml:space="preserve">3.2 Confidential-Finance nach Google Drive hochladen</w:t>
      </w:r>
    </w:p>
    <w:p>
      <w:pPr>
        <w:spacing w:after="120"/>
      </w:pPr>
      <w:r>
        <w:rPr>
          <w:i/>
          <w:iCs/>
        </w:rPr>
        <w:t xml:space="preserve">Ziel: Schutz eines sensiblen Dokuments gegen Upload in eine externe Cloud-Anwendung zeigen, mit Public-Vergleich (Demo F).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Debra Berger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DebraB@M365DS410216.OnMicrosoft.com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Finance Team, 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DLP-Demo-Finance-01.docx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DLP-Demo-Public-01.docx (Vergleich)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DLP-Demo-Finance-01.docx nach Google Drive hochladen.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Zum Vergleich DLP-Demo-Public-01.docx nach Google Drive hochladen.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Confidential-Finance-Upload wird blockiert (Portalzugriff, Policy Tip); Public-Upload wird nicht durch die sensible Labelregel erfasst.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 upload to google drive (Google Workspace)</w:t>
      </w:r>
    </w:p>
    <w:p>
      <w:r>
        <w:br w:type="page"/>
      </w:r>
    </w:p>
    <w:p>
      <w:pPr>
        <w:pStyle w:val="Heading1"/>
        <w:spacing w:after="160" w:before="400"/>
      </w:pPr>
      <w:r>
        <w:t xml:space="preserve">4. Sitzung 3 — Legal (Grady Archie)</w:t>
      </w:r>
    </w:p>
    <w:p>
      <w:pPr>
        <w:pStyle w:val="Heading2"/>
        <w:spacing w:after="120" w:before="280"/>
      </w:pPr>
      <w:r>
        <w:t xml:space="preserve">4.1 Confidential-Legal: Rechte- und DLP-Wirkung</w:t>
      </w:r>
    </w:p>
    <w:p>
      <w:pPr>
        <w:spacing w:after="120"/>
      </w:pPr>
      <w:r>
        <w:rPr>
          <w:i/>
          <w:iCs/>
        </w:rPr>
        <w:t xml:space="preserve">Ziel: Confidential-Legal und die spezielle Legal-DLP-Regel prüfen (Demo 1, Testplan 16.3).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Grady Archie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GradyA@M365DS410216.OnMicrosoft.com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Legal Team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DLP-Demo-Legal-01.docx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GradyA@M365DS410216.OnMicrosoft.com anmelden.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DLP-Demo-Legal-01.docx mit Label „Confidential-Legal“ kennzeichnen.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Dokument an Joni Sherman (Legal Team) und Alex Wilber (Leadership) übergeben.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Als Joni Sherman öffnen, bearbeiten, drucken und exportieren.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Als Alex Wilber öffnen und Bearbeiten/Export versuchen.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Als Debra Berger (Finance) öffnen versuchen.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Externe Freigabe an eine Testadresse starten.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Offlinezugriff testen (Offlinekopie erstellen bzw. nach Sitzungsende öffnen).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Legal Team: Vollzugriff (Öffnen, Bearbeiten, Drucken, Export, Weiterleiten), kein Offlinezugriff.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Leadership: nur Öffnen/Lesen.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Finance Team/andere: kein Zugriff.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 Freigabe: blockiert, Policy Tip, Alert und Incident Report.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Legal sharing violation with notification options (SPO/ODB)</w:t>
      </w:r>
    </w:p>
    <w:p>
      <w:pPr>
        <w:pStyle w:val="Heading2"/>
        <w:spacing w:after="120" w:before="280"/>
      </w:pPr>
      <w:r>
        <w:t xml:space="preserve">4.2 Confidential-Legal nach Google Drive hochladen</w:t>
      </w:r>
    </w:p>
    <w:p>
      <w:pPr>
        <w:spacing w:after="120"/>
      </w:pPr>
      <w:r>
        <w:rPr>
          <w:i/>
          <w:iCs/>
        </w:rPr>
        <w:t xml:space="preserve">Ziel: Externen Cloud-Datenfluss für Rechtsinformationen blockieren.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Grady Archie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GradyA@M365DS410216.OnMicrosoft.com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Legal Team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DLP-Demo-Legal-01.docx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DLP-Demo-Legal-01.docx nach Google Drive hochladen.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wird blockiert.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 upload to google drive (Google Workspace)</w:t>
      </w:r>
    </w:p>
    <w:p>
      <w:r>
        <w:br w:type="page"/>
      </w:r>
    </w:p>
    <w:p>
      <w:pPr>
        <w:pStyle w:val="Heading1"/>
        <w:spacing w:after="160" w:before="400"/>
      </w:pPr>
      <w:r>
        <w:t xml:space="preserve">5. Sitzung 4 — Leadership (Alex Wilber)</w:t>
      </w:r>
    </w:p>
    <w:p>
      <w:pPr>
        <w:pStyle w:val="Heading2"/>
        <w:spacing w:after="120" w:before="280"/>
      </w:pPr>
      <w:r>
        <w:t xml:space="preserve">5.1 Übergreifende Rechte: Legal, Finance, Strictly-Confidential-Intern</w:t>
      </w:r>
    </w:p>
    <w:p>
      <w:pPr>
        <w:spacing w:after="120"/>
      </w:pPr>
      <w:r>
        <w:rPr>
          <w:i/>
          <w:iCs/>
        </w:rPr>
        <w:t xml:space="preserve">Ziel: Übergreifende Managementrechte prüfen (Testplan 16.4).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Alex Wilber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AlexW@M365DS410216.OnMicrosoft.com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DLP-Demo-Legal-01.docx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DLP-Demo-Finance-01.docx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DLP-Demo-Strictly-Confidential-Intern-01.docx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AlexW@M365DS410216.OnMicrosoft.com anmelden.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Je ein Testdokument mit Confidential-Legal, Confidential-Finance und Strictly-Confidential-Intern öffnen bzw. erstellen.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Dokumente intern lesen und Bearbeiten versuchen (bei Legal/Finance kein Bearbeiten laut Definition erwartet).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Externe Freigabe für jedes Dokument testen.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Prüfen, dass Leadership nicht automatisch Zugriff auf Strictly-Confidential-Personalized erhält.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Interne Nutzung gemäß RMS-Rechten je Label.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 Freigaben lösen jeweils die passende DLP-Regel aus (Legal-Regel, No sharing outside org).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Kein automatischer Zugriff auf Strictly-Confidential-Personalized.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Legal sharing violation with notification options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sharing outside org</w:t>
      </w:r>
    </w:p>
    <w:p>
      <w:pPr>
        <w:pStyle w:val="Heading2"/>
        <w:spacing w:after="120" w:before="280"/>
      </w:pPr>
      <w:r>
        <w:t xml:space="preserve">5.2 Strictly-Confidential-Intern: nur Leadership</w:t>
      </w:r>
    </w:p>
    <w:p>
      <w:pPr>
        <w:spacing w:after="120"/>
      </w:pPr>
      <w:r>
        <w:rPr>
          <w:i/>
          <w:iCs/>
        </w:rPr>
        <w:t xml:space="preserve">Ziel: Vollzugriff exklusiv für Leadership sowie Offline-Sperre zeigen (Demo 3).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Alex Wilber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AlexW@M365DS410216.OnMicrosoft.com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DLP-Demo-Strictly-Confidential-Intern-01.docx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DLP-Demo-Strictly-Confidential-Intern-01.docx mit Label „Strictly-Confidential-Intern“ kennzeichnen.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einem weiteren Leadership-Mitglied teilen.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Als Christie Cline öffnen versuchen.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Offlinekopie erstellen bzw. Dokument nach Ablauf der Sitzung öffnen versuchen.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Nur Leadership erhält Zugriff (Vollzugriff); Offlinezugriff ist wegen OfflineAccessDays = 0 nicht vorgesehen.</w:t>
      </w:r>
    </w:p>
    <w:p>
      <w:pPr>
        <w:pStyle w:val="Heading2"/>
        <w:spacing w:after="120" w:before="280"/>
      </w:pPr>
      <w:r>
        <w:t xml:space="preserve">5.3 Strictly-Confidential-Personalized: individuelle Freigabe</w:t>
      </w:r>
    </w:p>
    <w:p>
      <w:pPr>
        <w:spacing w:after="120"/>
      </w:pPr>
      <w:r>
        <w:rPr>
          <w:i/>
          <w:iCs/>
        </w:rPr>
        <w:t xml:space="preserve">Ziel: Benutzerdefinierten Empfänger- und Verschlüsselungsprozess zeigen (Demo 5).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Alex Wilber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AlexW@M365DS410216.OnMicrosoft.com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DLP-Demo-Strictly-Confidential-Personalized-01.docx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DLP-Demo-Strictly-Confidential-Personalized-01.docx mit dem gleichnamigen Label kennzeichnen.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Nur einen ausdrücklich ausgewählten Empfänger hinzufügen.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nicht ausgewähltem internen Benutzer öffnen versuchen.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Externen Empfänger nur mit Testdaten hinzufügen.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Zugriff entspricht exakt der individuellen Benutzerauswahl; DLP- und RMS-Ergebnis getrennt dokumentieren.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Strictly confidential personalized sharing (SPO/ODB)</w:t>
      </w:r>
    </w:p>
    <w:p>
      <w:pPr>
        <w:pStyle w:val="Heading2"/>
        <w:spacing w:after="120" w:before="280"/>
      </w:pPr>
      <w:r>
        <w:t xml:space="preserve">5.4 Copilot-Verarbeitung sensibler Inhalte</w:t>
      </w:r>
    </w:p>
    <w:p>
      <w:pPr>
        <w:spacing w:after="120"/>
      </w:pPr>
      <w:r>
        <w:rPr>
          <w:i/>
          <w:iCs/>
        </w:rPr>
        <w:t xml:space="preserve">Ziel: Zeigen, dass die Copilot-Regel aktuell nur warnt, nicht blockiert (Demo G).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500"/>
        <w:gridCol w:w="3150"/>
      </w:tblGrid>
      <w:tr>
        <w:trPr>
          <w:tblHeader/>
        </w:trPr>
        <w:tc>
          <w:tcPr>
            <w:tcW w:type="dxa" w:w="27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Konto</w:t>
            </w:r>
          </w:p>
        </w:tc>
        <w:tc>
          <w:tcPr>
            <w:tcW w:type="dxa" w:w="350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UPN</w:t>
            </w:r>
          </w:p>
        </w:tc>
        <w:tc>
          <w:tcPr>
            <w:tcW w:type="dxa" w:w="3150"/>
            <w:shd w:fill="1F4E5F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Gruppenmitgliedschaft</w:t>
            </w:r>
          </w:p>
        </w:tc>
      </w:tr>
      <w:tr>
        <w:tc>
          <w:tcPr>
            <w:tcW w:type="dxa" w:w="2700"/>
          </w:tcPr>
          <w:p>
            <w:r>
              <w:rPr>
                <w:sz w:val="19"/>
                <w:szCs w:val="19"/>
              </w:rPr>
              <w:t xml:space="preserve">Alex Wilber</w:t>
            </w:r>
          </w:p>
        </w:tc>
        <w:tc>
          <w:tcPr>
            <w:tcW w:type="dxa" w:w="3500"/>
          </w:tcPr>
          <w:p>
            <w:r>
              <w:rPr>
                <w:sz w:val="19"/>
                <w:szCs w:val="19"/>
              </w:rPr>
              <w:t xml:space="preserve">AlexW@M365DS410216.OnMicrosoft.com</w:t>
            </w:r>
          </w:p>
        </w:tc>
        <w:tc>
          <w:tcPr>
            <w:tcW w:type="dxa" w:w="3150"/>
          </w:tcPr>
          <w:p>
            <w:r>
              <w:rPr>
                <w:sz w:val="19"/>
                <w:szCs w:val="19"/>
              </w:rPr>
              <w:t xml:space="preserve">Leadership</w:t>
            </w:r>
          </w:p>
        </w:tc>
      </w:tr>
    </w:tbl>
    <w:p>
      <w:pPr>
        <w:spacing w:before="160"/>
      </w:pPr>
    </w:p>
    <w:p>
      <w:pPr>
        <w:spacing w:after="120"/>
      </w:pPr>
      <w:r>
        <w:rPr>
          <w:b/>
          <w:bCs/>
        </w:rPr>
        <w:t xml:space="preserve">Verwendete Testdokumente: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DLP-Demo-Legal-01.docx oder DLP-Demo-Finance-01.docx</w:t>
      </w:r>
    </w:p>
    <w:p>
      <w:pPr>
        <w:spacing w:after="120"/>
      </w:pPr>
      <w:r>
        <w:rPr>
          <w:b/>
          <w:bCs/>
        </w:rPr>
        <w:t xml:space="preserve">Ablauf: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Sensibles Testdokument auswählen.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Copilot zur Zusammenfassung auffordern.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Dokumentieren, dass BlockAccess derzeit nicht gesetzt ist.</w:t>
      </w:r>
    </w:p>
    <w:p>
      <w:pPr>
        <w:spacing w:after="120"/>
      </w:pPr>
      <w:r>
        <w:rPr>
          <w:b/>
          <w:bCs/>
        </w:rPr>
        <w:t xml:space="preserve">Erwartetes Ergebnis: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Portalzugriff und Alert gemäß aktueller Konfiguration; keine technische Blockierung.</w:t>
      </w:r>
    </w:p>
    <w:p>
      <w:pPr>
        <w:spacing w:after="120"/>
      </w:pPr>
      <w:r>
        <w:rPr>
          <w:b/>
          <w:bCs/>
        </w:rPr>
        <w:t xml:space="preserve">Relevante DLP-/Publishing-Regeln zum Prüfen im Portal: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 labled content from beeing process Confidential Intern up (Copilot)</w:t>
      </w:r>
    </w:p>
    <w:p>
      <w:r>
        <w:br w:type="page"/>
      </w:r>
    </w:p>
    <w:p>
      <w:pPr>
        <w:pStyle w:val="Heading1"/>
        <w:spacing w:after="160" w:before="400"/>
      </w:pPr>
      <w:r>
        <w:t xml:space="preserve">6. Sitzung 5 — Administration (MOD Administrator)</w:t>
      </w:r>
    </w:p>
    <w:p>
      <w:pPr>
        <w:spacing w:after="120"/>
      </w:pPr>
      <w:r>
        <w:rPr>
          <w:i/>
          <w:iCs/>
        </w:rPr>
        <w:t xml:space="preserve">Ziel: Nur Konfiguration und Nachweise prüfen — nicht als einziger Benutzer für fachliche Endbenutzertests verwenden, da Administratorrechte und Leadership-Mitgliedschaft das Ergebnis verfälschen können.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Mit admin@M365DS410216.onmicrosoft.com im Purview-Portal anmelden.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Labels, Publishing Policies und DLP-Regeln kontrollieren; insbesondere ModernGroupLocation-Konfiguration für Finance/Legal.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Alerts und Incident Reports zu allen vorangegangenen Sitzungen suchen und den jeweiligen Tests zuordnen.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Für jeden blockierenden Test den positiven Kontrolltest (siehe Abschnitt 2.2) gegenprüfen.</w:t>
      </w:r>
    </w:p>
    <w:p>
      <w:r>
        <w:br w:type="page"/>
      </w:r>
    </w:p>
    <w:p>
      <w:pPr>
        <w:pStyle w:val="Heading1"/>
        <w:spacing w:after="160" w:before="400"/>
      </w:pPr>
      <w:r>
        <w:t xml:space="preserve">7. Nachbereitung</w:t>
      </w:r>
    </w:p>
    <w:p>
      <w:pPr>
        <w:spacing w:after="120"/>
      </w:pPr>
      <w:r>
        <w:rPr>
          <w:b/>
          <w:bCs/>
        </w:rPr>
        <w:t xml:space="preserve">Für jedes Szenario im Testprotokoll (separate Excel-Datei) festhalten: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Ausführender Benutzer und Gruppenmitgliedschaft zum Testzeitpunkt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Verwendetes Label und Testdokument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Empfänger bzw. Zielressource/-anwendung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Angezeigter Policy Tip oder Fehlermeldung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DLP-Alert mit Regelname, Incident Report und Severity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Tatsächliches Ergebnis: erlaubt, gewarnt, verschlüsselt oder blockiert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Abweichung vom erwarteten Ergebnis, falls vorhanden, und Zuordnung zum verantwortlichen Dienst (Label, RMS, DLP oder M365-Berechtigung)</w:t>
      </w:r>
    </w:p>
    <w:p>
      <w:pPr>
        <w:pStyle w:val="Heading2"/>
        <w:spacing w:after="120" w:before="280"/>
      </w:pPr>
      <w:r>
        <w:t xml:space="preserve">7.1 Go-/No-Go-Kriterien (Kurzfassung)</w:t>
      </w:r>
    </w:p>
    <w:p>
      <w:pPr>
        <w:spacing w:after="120"/>
      </w:pPr>
      <w:r>
        <w:rPr>
          <w:b/>
          <w:bCs/>
        </w:rPr>
        <w:t xml:space="preserve">Go, wenn: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Produktive Labels ohne „Test-“ vorhanden und auswählbar sind.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Externes Teilen von General-Intern blockiert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 General-Intern-E-Mail verschlüsselt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Externe Confidential-Intern-E-Mail blockiert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Google-Drive-Test die erwartete DLP-Maßnahme erzeugt.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Alerts und Incident Reports nachvollziehbar sind.</w:t>
      </w:r>
    </w:p>
    <w:p>
      <w:pPr>
        <w:spacing w:after="120"/>
      </w:pPr>
      <w:r>
        <w:rPr>
          <w:b/>
          <w:bCs/>
        </w:rPr>
        <w:t xml:space="preserve">No-Go, wenn: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Eine produktive Regel weiterhin ein Test-Label referenziert.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Eine sensible Datei ohne erwarteten Alert/Block nach außen gelangt.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RMS-Rechte Zugriff für nicht vorgesehene Benutzer erlauben.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Finance oder Legal weiterhin unbestätigt als ModernGroupLocation verwendet werden.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Copilot als „blockiert“ dokumentiert wird, obwohl nur Warnung/Portalzugriff konfiguriert ist.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2026-08-28T18:59:26.214Z</dcterms:created>
  <dcterms:modified xsi:type="dcterms:W3CDTF">2026-08-28T18:59:26.215Z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