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Budgetplanung: Forecast Musterprojekt</w:t>
      </w:r>
    </w:p>
    <w:p>
      <w:pPr>
        <w:spacing w:after="300"/>
      </w:pPr>
      <w:r>
        <w:rPr>
          <w:i/>
          <w:iCs/>
          <w:color w:val="444444"/>
        </w:rPr>
        <w:t xml:space="preserve">Finanzinformationen — nur für Finance Team und Leadership</w:t>
      </w:r>
    </w:p>
    <w:p>
      <w:pPr>
        <w:spacing w:after="200"/>
      </w:pPr>
      <w:r>
        <w:t xml:space="preserve">Diese Datei enthält eine fiktive Budgetplanung für das Musterprojekt. Alle Beträge sind Testwerte ohne Bezug zu echten Finanzdaten.</w:t>
      </w:r>
    </w:p>
    <w:p>
      <w:pPr>
        <w:spacing w:after="200"/>
      </w:pPr>
      <w:r>
        <w:t>Das Dokument dient der Demonstration der Rechte- und DLP-Wirkung des Labels „Confidential-Finance“ (RMS: Finance Team Vollzugriff, Leadership Bearbeiten; kein Offlinezugriff; Blockierung bei externer Freigabe und beim Upload in eingeschränkte Cloud-/KI-Apps).</w:t>
      </w:r>
    </w:p>
    <w:p>
      <w:pPr>
        <w:spacing w:after="200"/>
      </w:pPr>
      <w:r>
        <w:t xml:space="preserve">Fiktive Kennzahlen: Budget TEST-Q1 100.000 (Testwährung), Forecast TEST-Q2 110.000 (Testwährung).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Confidential-Finance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DLP-Demo-Finance-01.docx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Label-Freigaben-RMS: Demo 2, Use Cases 4–6 und 11 · DLP-Demos: Demo B und F, Testplan 16.2, Abschnitt 2.1 Nr. 3 und 2.4 Nr. 17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2026-08-28T18:57:55.661Z</dcterms:created>
  <dcterms:modified xsi:type="dcterms:W3CDTF">2026-08-28T18:57:55.661Z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