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B7791F"/>
          <w:sz w:val="18"/>
          <w:szCs w:val="18"/>
        </w:rPr>
        <w:t xml:space="preserve">KÜNSTLICHES TESTDOKUMENT — KEINE ECHTEN VERTRAULICHEN DATEN</w:t>
      </w:r>
    </w:p>
    <w:p>
      <w:pPr>
        <w:pBdr>
          <w:bottom w:val="single" w:color="B7791F" w:sz="6" w:space="4"/>
        </w:pBd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Nur für Demo-, Schulungs- und Testzwecke der Microsoft-Purview-Use-Case-Matrix</w:t>
      </w:r>
    </w:p>
    <w:p>
      <w:pPr>
        <w:pStyle w:val="Title"/>
        <w:spacing w:after="120"/>
      </w:pPr>
      <w:r>
        <w:t xml:space="preserve">Vertragsentwurf: Musterprojekt Kooperationsvereinbarung</w:t>
      </w:r>
    </w:p>
    <w:p>
      <w:pPr>
        <w:spacing w:after="300"/>
      </w:pPr>
      <w:r>
        <w:rPr>
          <w:i/>
          <w:iCs/>
          <w:color w:val="444444"/>
        </w:rPr>
        <w:t xml:space="preserve">Rechtsinformationen — nur für Legal Team und Leadership</w:t>
      </w:r>
    </w:p>
    <w:p>
      <w:pPr>
        <w:spacing w:after="200"/>
      </w:pPr>
      <w:r>
        <w:t xml:space="preserve">Dieser Vertragsentwurf regelt fiktiv die Zusammenarbeit zwischen der Beispiel GmbH und einem Testpartner. Alle Parteien, Beträge und Klauseln sind frei erfunden.</w:t>
      </w:r>
    </w:p>
    <w:p>
      <w:pPr>
        <w:spacing w:after="200"/>
      </w:pPr>
      <w:r>
        <w:t>Das Dokument dient ausschließlich der Demonstration der Rechte- und DLP-Wirkung des Labels „Confidential-Legal“ (RMS: Legal Team Vollzugriff, Leadership Bearbeiten; kein Offlinezugriff; Blockierung bei externer Freigabe).</w:t>
      </w:r>
    </w:p>
    <w:p>
      <w:pPr>
        <w:spacing w:after="200"/>
      </w:pPr>
      <w:r>
        <w:t xml:space="preserve">Fiktive Klausel: „Die Parteien vereinbaren eine Testlaufzeit von zwölf Monaten ab Unterzeichnung.“</w:t>
      </w:r>
    </w:p>
    <w:p>
      <w:pPr>
        <w:spacing w:after="120" w:before="30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c>
          <w:tcPr>
            <w:tcW w:type="dxa" w:w="3100"/>
            <w:shd w:fill="F2E9D8" w:val="clear"/>
          </w:tcPr>
          <w:p>
            <w:r>
              <w:rPr>
                <w:b/>
                <w:bCs/>
              </w:rPr>
              <w:t xml:space="preserve">Anzuwendendes Label</w:t>
            </w:r>
          </w:p>
        </w:tc>
        <w:tc>
          <w:tcPr>
            <w:tcW w:type="dxa" w:w="6250"/>
          </w:tcPr>
          <w:p>
            <w:r>
              <w:rPr>
                <w:b/>
                <w:bCs/>
              </w:rPr>
              <w:t xml:space="preserve">Confidential-Legal</w:t>
            </w:r>
          </w:p>
        </w:tc>
      </w:tr>
      <w:tr>
        <w:tc>
          <w:tcPr>
            <w:tcW w:type="dxa" w:w="3100"/>
            <w:shd w:fill="F2E9D8" w:val="clear"/>
          </w:tcPr>
          <w:p>
            <w:r>
              <w:rPr>
                <w:b/>
                <w:bCs/>
              </w:rPr>
              <w:t xml:space="preserve">Dateiname</w:t>
            </w:r>
          </w:p>
        </w:tc>
        <w:tc>
          <w:tcPr>
            <w:tcW w:type="dxa" w:w="6250"/>
          </w:tcPr>
          <w:p>
            <w:r>
              <w:t xml:space="preserve">DLP-Demo-Legal-01.docx</w:t>
            </w:r>
          </w:p>
        </w:tc>
      </w:tr>
      <w:tr>
        <w:tc>
          <w:tcPr>
            <w:tcW w:type="dxa" w:w="3100"/>
            <w:shd w:fill="F2E9D8" w:val="clear"/>
          </w:tcPr>
          <w:p>
            <w:r>
              <w:rPr>
                <w:b/>
                <w:bCs/>
              </w:rPr>
              <w:t xml:space="preserve">Demo-Referenz</w:t>
            </w:r>
          </w:p>
        </w:tc>
        <w:tc>
          <w:tcPr>
            <w:tcW w:type="dxa" w:w="6250"/>
          </w:tcPr>
          <w:p>
            <w:r>
              <w:t>Label-Freigaben-RMS: Demo 1, Use Cases 1–3 und 12 · DLP-Demos: Demo F, Testplan 16.3, Abschnitt 2.1 Nr. 4</w:t>
            </w:r>
          </w:p>
        </w:tc>
      </w:tr>
    </w:tbl>
    <w:p>
      <w:pPr>
        <w:spacing w:before="300"/>
      </w:pPr>
      <w:r>
        <w:rPr>
          <w:i/>
          <w:iCs/>
          <w:color w:val="666666"/>
          <w:sz w:val="18"/>
          <w:szCs w:val="18"/>
        </w:rPr>
        <w:t xml:space="preserve">Hinweis: Dieses Dokument enthält ausschließlich erfundene Testinhalte. Es ist für die produktive Labeldemonstration gemäß Use-Case-Matrix vorgesehen und darf nicht mit echten vertraulichen Legal-, Finance- oder Personaldaten ersetzt werden.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2026-08-28T18:57:55.589Z</dcterms:created>
  <dcterms:modified xsi:type="dcterms:W3CDTF">2026-08-28T18:57:55.589Z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