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7791F"/>
          <w:sz w:val="18"/>
          <w:szCs w:val="18"/>
        </w:rPr>
        <w:t xml:space="preserve">KÜNSTLICHES TESTDOKUMENT — KEINE ECHTEN VERTRAULICHEN DATEN</w:t>
      </w:r>
    </w:p>
    <w:p>
      <w:pPr>
        <w:pBdr>
          <w:bottom w:val="single" w:color="B7791F" w:sz="6" w:space="4"/>
        </w:pBd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Nur für Demo-, Schulungs- und Testzwecke der Microsoft-Purview-Use-Case-Matrix</w:t>
      </w:r>
    </w:p>
    <w:p>
      <w:pPr>
        <w:pStyle w:val="Title"/>
        <w:spacing w:after="120"/>
      </w:pPr>
      <w:r>
        <w:t xml:space="preserve">Strategiepapier: Geschäftsführungsvorlage (fiktiv)</w:t>
      </w:r>
    </w:p>
    <w:p>
      <w:pPr>
        <w:spacing w:after="300"/>
      </w:pPr>
      <w:r>
        <w:rPr>
          <w:i/>
          <w:iCs/>
          <w:color w:val="444444"/>
        </w:rPr>
        <w:t xml:space="preserve">Streng vertrauliche interne Informationen — ausschließlich Leadership</w:t>
      </w:r>
    </w:p>
    <w:p>
      <w:pPr>
        <w:spacing w:after="200"/>
      </w:pPr>
      <w:r>
        <w:t xml:space="preserve">Dieses fiktive Strategiepapier ist ausschließlich für die Verwendung durch Leadership vorgesehen und dient der Demonstration des Labels „Strictly-Confidential-Intern“.</w:t>
      </w:r>
    </w:p>
    <w:p>
      <w:pPr>
        <w:spacing w:after="200"/>
      </w:pPr>
      <w:r>
        <w:t>Alle Inhalte, Ziele und Kennzahlen sind erfunden. Das Dokument zeigt die Wirkung der RMS-Rechte (Vollzugriff ausschließlich Leadership, kein Offlinezugriff), das Verhalten bei internem Teilen mit Benutzern ohne Leadership-Mitgliedschaft sowie die DLP-Blockierung bei externer Freigabe und externem Mailversand.</w:t>
      </w:r>
    </w:p>
    <w:p>
      <w:pPr>
        <w:spacing w:after="200"/>
      </w:pPr>
      <w:r>
        <w:t xml:space="preserve">Fiktiver Punkt: „Strategischer Testschwerpunkt TEST-Bereich für das kommende Testjahr.“</w:t>
      </w:r>
    </w:p>
    <w:p>
      <w:pPr>
        <w:spacing w:after="120" w:before="3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Anzuwendendes Label</w:t>
            </w:r>
          </w:p>
        </w:tc>
        <w:tc>
          <w:tcPr>
            <w:tcW w:type="dxa" w:w="6250"/>
          </w:tcPr>
          <w:p>
            <w:r>
              <w:rPr>
                <w:b/>
                <w:bCs/>
              </w:rPr>
              <w:t xml:space="preserve">Strictly-Confidential-Intern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dxa" w:w="6250"/>
          </w:tcPr>
          <w:p>
            <w:r>
              <w:t xml:space="preserve">DLP-Demo-Strictly-Confidential-Intern-01.docx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Demo-Referenz</w:t>
            </w:r>
          </w:p>
        </w:tc>
        <w:tc>
          <w:tcPr>
            <w:tcW w:type="dxa" w:w="6250"/>
          </w:tcPr>
          <w:p>
            <w:r>
              <w:t>Label-Freigaben-RMS: Demo 3, Use Cases 7, 8 und 8a · DLP-Demos: Testplan 16.4, Abschnitt 2.1 Nr. 5a und 2.2 Nr. 10a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Hinweis: Dieses Dokument enthält ausschließlich erfundene Testinhalte. Es ist für die produktive Labeldemonstration gemäß Use-Case-Matrix vorgesehen und darf nicht mit echten vertraulichen Legal-, Finance- oder Personaldaten ersetzt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2026-08-28T18:57:55.699Z</dcterms:created>
  <dcterms:modified xsi:type="dcterms:W3CDTF">2026-08-28T18:57:55.699Z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