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Personalisiertes Dokument: Individuelle Testfreigabe</w:t>
      </w:r>
    </w:p>
    <w:p>
      <w:pPr>
        <w:spacing w:after="300"/>
      </w:pPr>
      <w:r>
        <w:rPr>
          <w:i/>
          <w:iCs/>
          <w:color w:val="444444"/>
        </w:rPr>
        <w:t xml:space="preserve">Personalisierte streng vertrauliche Informationen — Empfänger und Schutz durch Benutzer festgelegt</w:t>
      </w:r>
    </w:p>
    <w:p>
      <w:pPr>
        <w:spacing w:after="200"/>
      </w:pPr>
      <w:r>
        <w:t xml:space="preserve">Dieses Dokument dient der Demonstration des Labels „Strictly-Confidential-Personalized“. Beim Anwenden legt der Benutzer die Empfänger und die Verschlüsselung individuell fest.</w:t>
      </w:r>
    </w:p>
    <w:p>
      <w:pPr>
        <w:spacing w:after="200"/>
      </w:pPr>
      <w:r>
        <w:t xml:space="preserve">Für die Demo sollte gezielt nur ein ausdrücklich ausgewählter Empfänger hinzugefügt werden, um die benutzerdefinierte RMS-Wirkung nachvollziehbar zu zeigen. Alle Inhalte sind fiktiv.</w:t>
      </w:r>
    </w:p>
    <w:p>
      <w:pPr>
        <w:spacing w:after="200"/>
      </w:pPr>
      <w:r>
        <w:t xml:space="preserve">Fiktiver Hinweis: „Nur für den in der Freigabe namentlich genannten Testempfänger bestimmt.“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Strictly-Confidential-Personalized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DLP-Demo-Strictly-Confidential-Personalized-01.docx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Label-Freigaben-RMS: Use Case 13 und Demo 5 · DLP-Demos: Abschnitt 2.1 Nr. 5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2026-08-28T18:57:55.718Z</dcterms:created>
  <dcterms:modified xsi:type="dcterms:W3CDTF">2026-08-28T18:57:55.718Z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