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7791F"/>
          <w:sz w:val="18"/>
          <w:szCs w:val="18"/>
        </w:rPr>
        <w:t xml:space="preserve">KÜNSTLICHES TESTDOKUMENT — KEINE ECHTEN VERTRAULICHEN DATEN</w:t>
      </w:r>
    </w:p>
    <w:p>
      <w:pPr>
        <w:pBdr>
          <w:bottom w:val="single" w:color="B7791F" w:sz="6" w:space="4"/>
        </w:pBdr>
        <w:spacing w:after="300"/>
        <w:jc w:val="center"/>
      </w:pPr>
      <w:r>
        <w:rPr>
          <w:i/>
          <w:iCs/>
          <w:color w:val="666666"/>
          <w:sz w:val="18"/>
          <w:szCs w:val="18"/>
        </w:rPr>
        <w:t xml:space="preserve">Nur für Demo-, Schulungs- und Testzwecke der Microsoft-Purview-Use-Case-Matrix</w:t>
      </w:r>
    </w:p>
    <w:p>
      <w:pPr>
        <w:pStyle w:val="Title"/>
        <w:spacing w:after="120"/>
      </w:pPr>
      <w:r>
        <w:t xml:space="preserve">Personalisiertes Dokument: Individuelle Testfreigabe</w:t>
      </w:r>
    </w:p>
    <w:p>
      <w:pPr>
        <w:spacing w:after="300"/>
      </w:pPr>
      <w:r>
        <w:rPr>
          <w:i/>
          <w:iCs/>
          <w:color w:val="444444"/>
        </w:rPr>
        <w:t xml:space="preserve">Personalisierte streng vertrauliche Informationen — Empfänger und Schutz durch Benutzer festgelegt</w:t>
      </w:r>
    </w:p>
    <w:p>
      <w:pPr>
        <w:spacing w:after="200"/>
      </w:pPr>
      <w:r>
        <w:t xml:space="preserve">Dieses Dokument dient der Demonstration des Labels „Strictly-Confidential-Personalized“. Beim Anwenden legt der Benutzer die Empfänger und die Verschlüsselung individuell fest.</w:t>
      </w:r>
    </w:p>
    <w:p>
      <w:pPr>
        <w:spacing w:after="200"/>
      </w:pPr>
      <w:r>
        <w:t xml:space="preserve">Für die Demo sollte gezielt nur ein ausdrücklich ausgewählter Empfänger hinzugefügt werden, um die benutzerdefinierte RMS-Wirkung nachvollziehbar zu zeigen. Alle Inhalte sind fiktiv.</w:t>
      </w:r>
    </w:p>
    <w:p>
      <w:pPr>
        <w:spacing w:after="200"/>
      </w:pPr>
      <w:r>
        <w:t xml:space="preserve">Fiktiver Hinweis: „Nur für den in der Freigabe namentlich genannten Testempfänger bestimmt.“</w:t>
      </w:r>
    </w:p>
    <w:p>
      <w:pPr>
        <w:spacing w:after="120" w:before="30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50"/>
      </w:tblGrid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Anzuwendendes Label</w:t>
            </w:r>
          </w:p>
        </w:tc>
        <w:tc>
          <w:tcPr>
            <w:tcW w:type="dxa" w:w="6250"/>
          </w:tcPr>
          <w:p>
            <w:r>
              <w:rPr>
                <w:b/>
                <w:bCs/>
              </w:rPr>
              <w:t xml:space="preserve">Strictly-Confidential-Personalized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Dateiname</w:t>
            </w:r>
          </w:p>
        </w:tc>
        <w:tc>
          <w:tcPr>
            <w:tcW w:type="dxa" w:w="6250"/>
          </w:tcPr>
          <w:p>
            <w:r>
              <w:t xml:space="preserve">DLP-Demo-Strictly-Confidential-Personalized-01.docx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Demo-Referenz</w:t>
            </w:r>
          </w:p>
        </w:tc>
        <w:tc>
          <w:tcPr>
            <w:tcW w:type="dxa" w:w="6250"/>
          </w:tcPr>
          <w:p>
            <w:r>
              <w:t xml:space="preserve">Demo 13 (Freigabe-Use-Cases), Demo 5 (Schritt-für-Schritt-Demo)</w:t>
            </w:r>
          </w:p>
        </w:tc>
      </w:tr>
    </w:tbl>
    <w:p>
      <w:pPr>
        <w:spacing w:before="300"/>
      </w:pPr>
      <w:r>
        <w:rPr>
          <w:i/>
          <w:iCs/>
          <w:color w:val="666666"/>
          <w:sz w:val="18"/>
          <w:szCs w:val="18"/>
        </w:rPr>
        <w:t xml:space="preserve">Hinweis: Dieses Dokument enthält ausschließlich erfundene Testinhalte. Es ist für die produktive Labeldemonstration gemäß Use-Case-Matrix vorgesehen und darf nicht mit echten vertraulichen Legal-, Finance- oder Personaldaten ersetzt werden.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2026-08-28T18:57:55.718Z</dcterms:created>
  <dcterms:modified xsi:type="dcterms:W3CDTF">2026-08-28T18:57:55.718Z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