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[Editor-in-Chief name]</w:t>
      </w:r>
    </w:p>
    <w:p>
      <w:r>
        <w:t xml:space="preserve">Editor-in-Chief, </w:t>
      </w:r>
      <w:r>
        <w:rPr>
          <w:i/>
        </w:rPr>
        <w:t>Clinical Epigenetics</w:t>
      </w:r>
    </w:p>
    <w:p>
      <w:r>
        <w:t>Dear Dr [Editor-in-Chief name],</w:t>
      </w:r>
    </w:p>
    <w:p>
      <w:r>
        <w:t xml:space="preserve">We are pleased to submit our manuscript, "Maternal leukocyte composition, not placental pathology, underlies pre-eclampsia-associated differences in plasma cell-free DNA methylation: an integrative cell-free reduced-representation bisulfite sequencing study with tissue, trajectory, and genetic validation," for your consideration as a Research Article in </w:t>
      </w:r>
      <w:r>
        <w:rPr>
          <w:i/>
        </w:rPr>
        <w:t>Clinical Epigenetics</w:t>
      </w:r>
      <w:r>
        <w:t>.</w:t>
      </w:r>
    </w:p>
    <w:p>
      <w:r>
        <w:t xml:space="preserve">Pre-eclampsia remains a leading cause of maternal and perinatal morbidity, and plasma cell-free DNA (cfDNA) methylation profiling has emerged as a promising non-invasive approach to early risk assessment. Most existing work, including the recent Nature Medicine study by De Borre </w:t>
      </w:r>
      <w:r>
        <w:rPr>
          <w:i/>
        </w:rPr>
        <w:t>et al.</w:t>
      </w:r>
      <w:r>
        <w:t xml:space="preserve"> (</w:t>
      </w:r>
      <w:r>
        <w:rPr>
          <w:i/>
        </w:rPr>
        <w:t>Nat Med</w:t>
      </w:r>
      <w:r>
        <w:t>. 2023;29:2206–2215), has treated cfDNA methylation differences in pre-eclampsia as potentially informative signals and focused on building predictive models. A fundamental biological question remains unresolved: where do these methylation differences come from? The answer determines what such biomarkers actually measure and how they should be validated.</w:t>
      </w:r>
    </w:p>
    <w:p>
      <w:r>
        <w:t>In this study we take an existing public cfRRBS dataset (GSE282512, 369 plasma profiles) through a deliberately origin-focused pipeline. We identify 166 candidate differentially methylated regions and then test their cellular origin in five independent evidence layers, each with its own positive control: (i) cross-cohort expression meta-analysis of DMR genes; (ii) direct testing of DMR CpGs in placental tissue from three independent cohorts; (iii) regulatory and transcription factor motif annotation; (iv) longitudinal cfDNA trajectories with change-based deconvolution in an external cfDNA cohort and a maternal leukocyte cohort; and (v) genetic architecture analysis (cis-mQTL coverage, two-sample Mendelian randomization against pre-eclampsia and 16 blood-cell/organ traits). Across all layers, the evidence converges on maternal leukocyte composition as the dominant source of the plasma cfDNA methylation signal, with only a small genetically regulated subset linked to immune and metabolic traits through genetically instrumented effects.</w:t>
      </w:r>
    </w:p>
    <w:p>
      <w:r>
        <w:t>Three findings are worth highlighting:</w:t>
      </w:r>
    </w:p>
    <w:p>
      <w:r>
        <w:t xml:space="preserve">- </w:t>
      </w:r>
      <w:r>
        <w:rPr>
          <w:b/>
        </w:rPr>
        <w:t>Placental origin is not supported.</w:t>
      </w:r>
      <w:r>
        <w:t xml:space="preserve"> DMR genes are not differentially expressed in placenta, and DMR CpGs in placental tissue carry PE effect sizes (mean |z| = 0.35) at only 8.7% of the strength seen in a genuine placental positive control set (mean |z| = 3.99), with permutation </w:t>
      </w:r>
      <w:r>
        <w:rPr>
          <w:i/>
        </w:rPr>
        <w:t>p</w:t>
      </w:r>
      <w:r>
        <w:t xml:space="preserve"> = 1.0.</w:t>
      </w:r>
    </w:p>
    <w:p>
      <w:r>
        <w:t xml:space="preserve">- </w:t>
      </w:r>
      <w:r>
        <w:rPr>
          <w:b/>
        </w:rPr>
        <w:t>The signal tracks maternal blood cells across gestation.</w:t>
      </w:r>
      <w:r>
        <w:t xml:space="preserve"> In the external cfDNA cohort, placenta-informative markers rise with gestation while blood-cell markers fall; the same T-cell decline is reproduced in maternal leukocytes and reverses postpartum, ruling out a platform artefact. In the small subgroup of pregnancies that developed pre-eclampsia or gestational hypertension (eight patients), the neutrophil-derived fraction was already elevated in the first trimester, before clinical onset; we frame this as hypothesis-generating, to be tested in a dedicated first-trimester cohort.</w:t>
      </w:r>
    </w:p>
    <w:p>
      <w:r>
        <w:t xml:space="preserve">- </w:t>
      </w:r>
      <w:r>
        <w:rPr>
          <w:b/>
        </w:rPr>
        <w:t>Genetic validation points to blood-cell biology.</w:t>
      </w:r>
      <w:r>
        <w:t xml:space="preserve"> DMR CpGs overall are less genetically regulated than background CpGs (28.8% vs 37.7% carrying cis-mQTLs, OR 0.669, </w:t>
      </w:r>
      <w:r>
        <w:rPr>
          <w:i/>
        </w:rPr>
        <w:t>p</w:t>
      </w:r>
      <w:r>
        <w:t xml:space="preserve"> = 2.1×10⁻⁹). Where instruments exist, genetically instrumented methylation at these loci moves monocyte, lymphocyte, neutrophil, and platelet counts, and systolic blood pressure, rather than acting as a placental disease output; as with all MR, these effects are read with the caveats of pleiotropy and are treated as triangulating evidence.</w:t>
      </w:r>
    </w:p>
    <w:p>
      <w:r>
        <w:t xml:space="preserve">Our work is complementary, rather than redundant, to the De Borre </w:t>
      </w:r>
      <w:r>
        <w:rPr>
          <w:i/>
        </w:rPr>
        <w:t>et al.</w:t>
      </w:r>
      <w:r>
        <w:t xml:space="preserve"> study. That paper reports a first-trimester cfDNA methylation predictor of early-onset pre-eclampsia (external AUC 0.75, combined AUC 0.85 with clinical factors) and treats the signal's origin as a question for future work, implying a placental contribution. Our paper asks the origin question directly, in a different dataset and with different analytical design, and reaches a mechanistically different conclusion for the PE-associated DMRs we detect: they behave as a fingerprint of maternal leukocyte composition. We therefore do not compete with De Borre </w:t>
      </w:r>
      <w:r>
        <w:rPr>
          <w:i/>
        </w:rPr>
        <w:t>et al.</w:t>
      </w:r>
      <w:r>
        <w:t xml:space="preserve"> on prediction performance; instead, we provide an interpretive framework that reframes what cfDNA methylation biomarkers for pre-eclampsia are likely measuring. For </w:t>
      </w:r>
      <w:r>
        <w:rPr>
          <w:i/>
        </w:rPr>
        <w:t>Clinical Epigenetics</w:t>
      </w:r>
      <w:r>
        <w:t>, this offers a mechanistic epigenetics story that sits between biomarker development and functional understanding.</w:t>
      </w:r>
    </w:p>
    <w:p>
      <w:r>
        <w:t>All source data are public (GEO and GWAS Catalog). No individual patient data were newly collected. The authors declare no competing interests. This manuscript has not been submitted elsewhere, and all authors have approved the version being submitted.</w:t>
      </w:r>
    </w:p>
    <w:p>
      <w:r>
        <w:t xml:space="preserve">We would welcome the opportunity to publish this work in </w:t>
      </w:r>
      <w:r>
        <w:rPr>
          <w:i/>
        </w:rPr>
        <w:t>Clinical Epigenetics</w:t>
      </w:r>
      <w:r>
        <w:t>.</w:t>
      </w:r>
    </w:p>
    <w:p>
      <w:r>
        <w:t>Yours sincerely,</w:t>
      </w:r>
    </w:p>
    <w:p>
      <w:r>
        <w:t>Weixian Xie, MD</w:t>
      </w:r>
    </w:p>
    <w:p>
      <w:r>
        <w:t>Department of Anesthesiology</w:t>
      </w:r>
    </w:p>
    <w:p>
      <w:r>
        <w:t>Affiliated Qingyuan Hospital, Guangzhou Medical University</w:t>
      </w:r>
    </w:p>
    <w:p>
      <w:r>
        <w:t>Qingyuan, Guangdong, China</w:t>
      </w:r>
    </w:p>
    <w:p>
      <w:r>
        <w:t>Email: 2026691021@gzhmu.edu.cn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