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6E0F" w14:textId="77777777" w:rsidR="00AE5C73" w:rsidRDefault="00AE5C73" w:rsidP="00AE5C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14:paraId="1785BF03" w14:textId="77777777" w:rsidR="00AE5C73" w:rsidRDefault="00AE5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681052" w14:textId="0B4D613F" w:rsidR="006748B1" w:rsidRDefault="00BE0267" w:rsidP="008F27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New Discoveries</w:t>
      </w:r>
    </w:p>
    <w:p w14:paraId="00249A8C" w14:textId="33428697" w:rsidR="008F279E" w:rsidRPr="008F279E" w:rsidRDefault="00BE0267" w:rsidP="008F27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279E">
        <w:rPr>
          <w:rFonts w:ascii="Times New Roman" w:hAnsi="Times New Roman" w:cs="Times New Roman"/>
          <w:sz w:val="24"/>
          <w:szCs w:val="24"/>
        </w:rPr>
        <w:t>tradeoff between alpha and beta</w:t>
      </w:r>
    </w:p>
    <w:p w14:paraId="1B54B907" w14:textId="2A5F5460" w:rsidR="00BE0267" w:rsidRDefault="008F279E" w:rsidP="008F279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279E">
        <w:rPr>
          <w:rFonts w:ascii="Times New Roman" w:hAnsi="Times New Roman" w:cs="Times New Roman"/>
          <w:sz w:val="24"/>
          <w:szCs w:val="24"/>
        </w:rPr>
        <w:t>both exciting the circuit</w:t>
      </w:r>
    </w:p>
    <w:p w14:paraId="60403D83" w14:textId="3C40B155" w:rsidR="00AE5C73" w:rsidRDefault="00AE5C73" w:rsidP="00AE5C73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alpha: self-excitation</w:t>
      </w:r>
    </w:p>
    <w:p w14:paraId="4F4EF668" w14:textId="1FE82C08" w:rsidR="000B0502" w:rsidRDefault="00AE5C73" w:rsidP="000B050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beta: release of inhibition</w:t>
      </w:r>
    </w:p>
    <w:p w14:paraId="0B3A4E38" w14:textId="19E30F65" w:rsidR="005B3945" w:rsidRDefault="005B3945" w:rsidP="005B394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completely interchangeable</w:t>
      </w:r>
    </w:p>
    <w:p w14:paraId="00B4F5D0" w14:textId="4A6B93A9" w:rsidR="00A95F13" w:rsidRDefault="00DC67C7" w:rsidP="00874343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empirical data of different subjects has different </w:t>
      </w:r>
      <w:r w:rsidR="00AF327A">
        <w:rPr>
          <w:rFonts w:ascii="Times New Roman" w:hAnsi="Times New Roman" w:cs="Times New Roman"/>
          <w:sz w:val="24"/>
          <w:szCs w:val="24"/>
        </w:rPr>
        <w:t>skewness</w:t>
      </w:r>
    </w:p>
    <w:p w14:paraId="63514FB4" w14:textId="44293F04" w:rsidR="00233419" w:rsidRPr="00874343" w:rsidRDefault="00233419" w:rsidP="00874343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models have failed to capture the skewness differences between subjects, but LDDM is able to accomplish this by changing alpha and beta</w:t>
      </w:r>
    </w:p>
    <w:sectPr w:rsidR="00233419" w:rsidRPr="00874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37ED4"/>
    <w:multiLevelType w:val="hybridMultilevel"/>
    <w:tmpl w:val="D4100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A4C76"/>
    <w:multiLevelType w:val="hybridMultilevel"/>
    <w:tmpl w:val="0A386096"/>
    <w:lvl w:ilvl="0" w:tplc="B32E6EF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299826">
    <w:abstractNumId w:val="1"/>
  </w:num>
  <w:num w:numId="2" w16cid:durableId="660933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93"/>
    <w:rsid w:val="000B0502"/>
    <w:rsid w:val="00233419"/>
    <w:rsid w:val="00563240"/>
    <w:rsid w:val="005B3945"/>
    <w:rsid w:val="00610D2B"/>
    <w:rsid w:val="006748B1"/>
    <w:rsid w:val="007C5E71"/>
    <w:rsid w:val="00874343"/>
    <w:rsid w:val="008F279E"/>
    <w:rsid w:val="00A95F13"/>
    <w:rsid w:val="00AE5C73"/>
    <w:rsid w:val="00AF327A"/>
    <w:rsid w:val="00BE0267"/>
    <w:rsid w:val="00DB2893"/>
    <w:rsid w:val="00DC67C7"/>
    <w:rsid w:val="00F8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84FD"/>
  <w15:chartTrackingRefBased/>
  <w15:docId w15:val="{E794A365-10B6-4513-A819-FD5585AD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Weiyi Tian</dc:creator>
  <cp:keywords/>
  <dc:description/>
  <cp:lastModifiedBy>Weiyi Tian</cp:lastModifiedBy>
  <cp:revision>13</cp:revision>
  <dcterms:created xsi:type="dcterms:W3CDTF">2023-10-17T22:17:00Z</dcterms:created>
  <dcterms:modified xsi:type="dcterms:W3CDTF">2023-10-17T22:28:00Z</dcterms:modified>
</cp:coreProperties>
</file>