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 w:hAnsi="楷体" w:eastAsia="楷体" w:cs="楷体"/>
          <w:b/>
          <w:sz w:val="32"/>
          <w:szCs w:val="32"/>
        </w:rPr>
      </w:pPr>
      <w:r>
        <w:rPr>
          <w:rFonts w:hint="eastAsia" w:ascii="楷体" w:hAnsi="楷体" w:eastAsia="楷体" w:cs="楷体"/>
          <w:b/>
          <w:sz w:val="32"/>
          <w:szCs w:val="32"/>
        </w:rPr>
        <w:t>上海泓赫投资管理有限公司</w:t>
      </w:r>
    </w:p>
    <w:p>
      <w:pPr>
        <w:jc w:val="left"/>
        <w:rPr>
          <w:rFonts w:hint="eastAsia" w:ascii="楷体" w:hAnsi="楷体" w:eastAsia="楷体" w:cs="楷体"/>
          <w:sz w:val="24"/>
        </w:rPr>
      </w:pPr>
      <w:r>
        <w:rPr>
          <w:rFonts w:hint="eastAsia" w:ascii="楷体" w:hAnsi="楷体" w:eastAsia="楷体" w:cs="楷体"/>
          <w:sz w:val="24"/>
        </w:rPr>
        <w:t>访谈对象：杨雨龙</w:t>
      </w:r>
    </w:p>
    <w:p>
      <w:pPr>
        <w:pStyle w:val="2"/>
        <w:rPr>
          <w:rFonts w:hint="eastAsia" w:ascii="楷体" w:hAnsi="楷体" w:eastAsia="楷体" w:cs="楷体"/>
        </w:rPr>
      </w:pPr>
      <w:r>
        <w:rPr>
          <w:rFonts w:hint="eastAsia" w:ascii="楷体" w:hAnsi="楷体" w:eastAsia="楷体" w:cs="楷体"/>
        </w:rPr>
        <w:t>公司及人员</w:t>
      </w:r>
    </w:p>
    <w:p>
      <w:pPr>
        <w:numPr>
          <w:ilvl w:val="0"/>
          <w:numId w:val="2"/>
        </w:numPr>
        <w:jc w:val="left"/>
        <w:rPr>
          <w:rFonts w:hint="eastAsia" w:ascii="楷体" w:hAnsi="楷体" w:eastAsia="楷体" w:cs="楷体"/>
          <w:b/>
          <w:sz w:val="24"/>
        </w:rPr>
      </w:pPr>
      <w:r>
        <w:rPr>
          <w:rFonts w:hint="eastAsia" w:ascii="楷体" w:hAnsi="楷体" w:eastAsia="楷体" w:cs="楷体"/>
          <w:b/>
          <w:sz w:val="24"/>
        </w:rPr>
        <w:t>公司概况：</w:t>
      </w:r>
    </w:p>
    <w:p>
      <w:pPr>
        <w:ind w:left="420"/>
        <w:jc w:val="left"/>
        <w:rPr>
          <w:rFonts w:hint="eastAsia" w:ascii="楷体" w:hAnsi="楷体" w:eastAsia="楷体" w:cs="楷体"/>
          <w:sz w:val="24"/>
        </w:rPr>
      </w:pPr>
      <w:r>
        <w:rPr>
          <w:rFonts w:hint="eastAsia" w:ascii="楷体" w:hAnsi="楷体" w:eastAsia="楷体" w:cs="楷体"/>
          <w:color w:val="000000"/>
          <w:sz w:val="24"/>
          <w:lang w:val="en-US" w:bidi="en-US"/>
        </w:rPr>
        <w:tab/>
      </w:r>
      <w:r>
        <w:rPr>
          <w:rFonts w:hint="eastAsia" w:ascii="楷体" w:hAnsi="楷体" w:eastAsia="楷体" w:cs="楷体"/>
          <w:color w:val="000000"/>
          <w:sz w:val="24"/>
          <w:lang w:val="en-US" w:bidi="en-US"/>
        </w:rPr>
        <w:t>上海泓赫投资管理有限公司，成立</w:t>
      </w:r>
      <w:r>
        <w:rPr>
          <w:rFonts w:hint="eastAsia" w:ascii="楷体" w:hAnsi="楷体" w:eastAsia="楷体" w:cs="楷体"/>
          <w:color w:val="000000"/>
          <w:kern w:val="2"/>
          <w:sz w:val="24"/>
        </w:rPr>
        <w:t>于 2016年 04 月 11 日， 2019年 10 月 31 日在协会备案。为协会观察会员，目前管理规模3亿。3000 万为量化多头，剩余的为纯债策略与少部分量化多头+纯债的复合策略，以及少量的自营主观多头策略。</w:t>
      </w:r>
    </w:p>
    <w:p>
      <w:pPr>
        <w:numPr>
          <w:ilvl w:val="0"/>
          <w:numId w:val="2"/>
        </w:numPr>
        <w:jc w:val="left"/>
        <w:rPr>
          <w:rFonts w:hint="eastAsia" w:ascii="楷体" w:hAnsi="楷体" w:eastAsia="楷体" w:cs="楷体"/>
          <w:b/>
          <w:sz w:val="24"/>
        </w:rPr>
      </w:pPr>
      <w:r>
        <w:rPr>
          <w:rFonts w:hint="eastAsia" w:ascii="楷体" w:hAnsi="楷体" w:eastAsia="楷体" w:cs="楷体"/>
          <w:b/>
          <w:sz w:val="24"/>
        </w:rPr>
        <w:t>股东情况：</w:t>
      </w:r>
    </w:p>
    <w:p>
      <w:pPr>
        <w:ind w:left="420" w:firstLine="420"/>
        <w:jc w:val="left"/>
        <w:rPr>
          <w:rFonts w:hint="eastAsia" w:ascii="楷体" w:hAnsi="楷体" w:eastAsia="楷体" w:cs="楷体"/>
          <w:sz w:val="24"/>
          <w:highlight w:val="yellow"/>
        </w:rPr>
      </w:pPr>
      <w:r>
        <w:rPr>
          <w:rFonts w:hint="eastAsia" w:ascii="楷体" w:hAnsi="楷体" w:eastAsia="楷体" w:cs="楷体"/>
          <w:color w:val="000000"/>
          <w:sz w:val="24"/>
        </w:rPr>
        <w:t>公司注册资本1000万，</w:t>
      </w:r>
      <w:r>
        <w:rPr>
          <w:rFonts w:hint="eastAsia" w:ascii="楷体" w:hAnsi="楷体" w:eastAsia="楷体" w:cs="楷体"/>
          <w:color w:val="000000"/>
          <w:sz w:val="24"/>
        </w:rPr>
        <w:t>100</w:t>
      </w:r>
      <w:r>
        <w:rPr>
          <w:rFonts w:hint="eastAsia" w:ascii="楷体" w:hAnsi="楷体" w:eastAsia="楷体" w:cs="楷体"/>
          <w:color w:val="000000"/>
          <w:sz w:val="24"/>
        </w:rPr>
        <w:t>%实缴，总经理陈浩持股6</w:t>
      </w:r>
      <w:r>
        <w:rPr>
          <w:rFonts w:hint="eastAsia" w:ascii="楷体" w:hAnsi="楷体" w:eastAsia="楷体" w:cs="楷体"/>
          <w:color w:val="000000"/>
          <w:sz w:val="24"/>
        </w:rPr>
        <w:t>5</w:t>
      </w:r>
      <w:r>
        <w:rPr>
          <w:rFonts w:hint="eastAsia" w:ascii="楷体" w:hAnsi="楷体" w:eastAsia="楷体" w:cs="楷体"/>
          <w:color w:val="000000"/>
          <w:sz w:val="24"/>
          <w:lang w:val="en-US" w:bidi="en-US"/>
        </w:rPr>
        <w:t>%，赵翀宇持股 3</w:t>
      </w:r>
      <w:r>
        <w:rPr>
          <w:rFonts w:hint="eastAsia" w:ascii="楷体" w:hAnsi="楷体" w:eastAsia="楷体" w:cs="楷体"/>
          <w:color w:val="000000"/>
          <w:sz w:val="24"/>
          <w:lang w:val="en-US" w:bidi="en-US"/>
        </w:rPr>
        <w:t>5%</w:t>
      </w:r>
      <w:r>
        <w:rPr>
          <w:rFonts w:hint="eastAsia" w:ascii="楷体" w:hAnsi="楷体" w:eastAsia="楷体" w:cs="楷体"/>
          <w:color w:val="000000"/>
          <w:sz w:val="24"/>
          <w:lang w:val="en-US" w:bidi="en-US"/>
        </w:rPr>
        <w:t>。</w:t>
      </w:r>
      <w:r>
        <w:rPr>
          <w:rFonts w:hint="eastAsia" w:ascii="楷体" w:hAnsi="楷体" w:eastAsia="楷体" w:cs="楷体"/>
          <w:color w:val="000000"/>
          <w:sz w:val="24"/>
        </w:rPr>
        <w:t>陈浩在</w:t>
      </w:r>
      <w:r>
        <w:rPr>
          <w:rFonts w:hint="eastAsia" w:ascii="楷体" w:hAnsi="楷体" w:eastAsia="楷体" w:cs="楷体"/>
          <w:color w:val="000000"/>
          <w:sz w:val="24"/>
        </w:rPr>
        <w:t>2018年接手泓赫后，</w:t>
      </w:r>
      <w:r>
        <w:rPr>
          <w:rFonts w:hint="eastAsia" w:ascii="楷体" w:hAnsi="楷体" w:eastAsia="楷体" w:cs="楷体"/>
          <w:color w:val="000000"/>
          <w:sz w:val="24"/>
        </w:rPr>
        <w:t>负责债券策略的投资。赵翀宇为财务投资人。</w:t>
      </w:r>
    </w:p>
    <w:p>
      <w:pPr>
        <w:numPr>
          <w:ilvl w:val="0"/>
          <w:numId w:val="2"/>
        </w:numPr>
        <w:jc w:val="left"/>
        <w:rPr>
          <w:rFonts w:hint="eastAsia" w:ascii="楷体" w:hAnsi="楷体" w:eastAsia="楷体" w:cs="楷体"/>
          <w:b/>
          <w:sz w:val="24"/>
        </w:rPr>
      </w:pPr>
      <w:r>
        <w:rPr>
          <w:rFonts w:hint="eastAsia" w:ascii="楷体" w:hAnsi="楷体" w:eastAsia="楷体" w:cs="楷体"/>
          <w:b/>
          <w:sz w:val="24"/>
        </w:rPr>
        <w:t>组织架</w:t>
      </w:r>
      <w:r>
        <w:rPr>
          <w:rFonts w:hint="eastAsia" w:ascii="楷体" w:hAnsi="楷体" w:eastAsia="楷体" w:cs="楷体"/>
          <w:b/>
          <w:color w:val="000000"/>
          <w:sz w:val="24"/>
        </w:rPr>
        <w:t>构：</w:t>
      </w:r>
    </w:p>
    <w:p>
      <w:pPr>
        <w:ind w:left="420" w:firstLine="420"/>
        <w:jc w:val="left"/>
        <w:rPr>
          <w:rFonts w:hint="eastAsia" w:ascii="楷体" w:hAnsi="楷体" w:eastAsia="楷体" w:cs="楷体"/>
          <w:sz w:val="24"/>
          <w:highlight w:val="white"/>
        </w:rPr>
      </w:pPr>
      <w:r>
        <w:rPr>
          <w:rFonts w:hint="eastAsia" w:ascii="楷体" w:hAnsi="楷体" w:eastAsia="楷体" w:cs="楷体"/>
          <w:color w:val="000000"/>
          <w:sz w:val="24"/>
          <w:highlight w:val="white"/>
        </w:rPr>
        <w:t>总人数</w:t>
      </w:r>
      <w:r>
        <w:rPr>
          <w:rFonts w:hint="eastAsia" w:ascii="楷体" w:hAnsi="楷体" w:eastAsia="楷体" w:cs="楷体"/>
          <w:color w:val="000000"/>
          <w:sz w:val="24"/>
          <w:highlight w:val="white"/>
        </w:rPr>
        <w:t>9</w:t>
      </w:r>
      <w:r>
        <w:rPr>
          <w:rFonts w:hint="eastAsia" w:ascii="楷体" w:hAnsi="楷体" w:eastAsia="楷体" w:cs="楷体"/>
          <w:color w:val="000000"/>
          <w:sz w:val="24"/>
          <w:highlight w:val="white"/>
        </w:rPr>
        <w:t>人，其中基金经理</w:t>
      </w:r>
      <w:r>
        <w:rPr>
          <w:rFonts w:hint="eastAsia" w:ascii="楷体" w:hAnsi="楷体" w:eastAsia="楷体" w:cs="楷体"/>
          <w:color w:val="000000"/>
          <w:sz w:val="24"/>
          <w:highlight w:val="white"/>
        </w:rPr>
        <w:t>2</w:t>
      </w:r>
      <w:r>
        <w:rPr>
          <w:rFonts w:hint="eastAsia" w:ascii="楷体" w:hAnsi="楷体" w:eastAsia="楷体" w:cs="楷体"/>
          <w:color w:val="000000"/>
          <w:sz w:val="24"/>
          <w:highlight w:val="white"/>
        </w:rPr>
        <w:t>人</w:t>
      </w:r>
      <w:r>
        <w:rPr>
          <w:rFonts w:hint="eastAsia" w:ascii="楷体" w:hAnsi="楷体" w:eastAsia="楷体" w:cs="楷体"/>
          <w:color w:val="000000"/>
          <w:sz w:val="24"/>
          <w:highlight w:val="white"/>
        </w:rPr>
        <w:t>，杨雨龙和1位研究员负责量化多头策略</w:t>
      </w:r>
      <w:r>
        <w:rPr>
          <w:rFonts w:hint="eastAsia" w:ascii="楷体" w:hAnsi="楷体" w:eastAsia="楷体" w:cs="楷体"/>
          <w:color w:val="000000"/>
          <w:sz w:val="24"/>
          <w:highlight w:val="white"/>
        </w:rPr>
        <w:t>，陈浩与另</w:t>
      </w:r>
      <w:r>
        <w:rPr>
          <w:rFonts w:hint="eastAsia" w:ascii="楷体" w:hAnsi="楷体" w:eastAsia="楷体" w:cs="楷体"/>
          <w:color w:val="000000"/>
          <w:sz w:val="24"/>
          <w:highlight w:val="white"/>
        </w:rPr>
        <w:t>3</w:t>
      </w:r>
      <w:r>
        <w:rPr>
          <w:rFonts w:hint="eastAsia" w:ascii="楷体" w:hAnsi="楷体" w:eastAsia="楷体" w:cs="楷体"/>
          <w:color w:val="000000"/>
          <w:sz w:val="24"/>
          <w:highlight w:val="white"/>
        </w:rPr>
        <w:t>名研究员负责债券策略，风控1人，市场与运营</w:t>
      </w:r>
      <w:r>
        <w:rPr>
          <w:rFonts w:hint="eastAsia" w:ascii="楷体" w:hAnsi="楷体" w:eastAsia="楷体" w:cs="楷体"/>
          <w:color w:val="000000"/>
          <w:sz w:val="24"/>
          <w:highlight w:val="white"/>
        </w:rPr>
        <w:t>2</w:t>
      </w:r>
      <w:r>
        <w:rPr>
          <w:rFonts w:hint="eastAsia" w:ascii="楷体" w:hAnsi="楷体" w:eastAsia="楷体" w:cs="楷体"/>
          <w:color w:val="000000"/>
          <w:sz w:val="24"/>
          <w:highlight w:val="white"/>
        </w:rPr>
        <w:t>人</w:t>
      </w:r>
      <w:r>
        <w:rPr>
          <w:rFonts w:hint="eastAsia" w:ascii="楷体" w:hAnsi="楷体" w:eastAsia="楷体" w:cs="楷体"/>
          <w:color w:val="000000"/>
          <w:sz w:val="24"/>
          <w:highlight w:val="white"/>
        </w:rPr>
        <w:t>。</w:t>
      </w:r>
    </w:p>
    <w:p>
      <w:pPr>
        <w:numPr>
          <w:ilvl w:val="0"/>
          <w:numId w:val="2"/>
        </w:numPr>
        <w:jc w:val="left"/>
        <w:rPr>
          <w:rFonts w:hint="eastAsia" w:ascii="楷体" w:hAnsi="楷体" w:eastAsia="楷体" w:cs="楷体"/>
          <w:b/>
          <w:sz w:val="24"/>
        </w:rPr>
      </w:pPr>
      <w:r>
        <w:rPr>
          <w:rFonts w:hint="eastAsia" w:ascii="楷体" w:hAnsi="楷体" w:eastAsia="楷体" w:cs="楷体"/>
          <w:b/>
          <w:sz w:val="24"/>
        </w:rPr>
        <w:t>核心人员背景：</w:t>
      </w:r>
    </w:p>
    <w:p>
      <w:pPr>
        <w:numPr>
          <w:ilvl w:val="0"/>
          <w:numId w:val="3"/>
        </w:numPr>
        <w:jc w:val="left"/>
        <w:rPr>
          <w:rFonts w:hint="eastAsia" w:ascii="楷体" w:hAnsi="楷体" w:eastAsia="楷体" w:cs="楷体"/>
          <w:sz w:val="24"/>
        </w:rPr>
      </w:pPr>
      <w:r>
        <w:rPr>
          <w:rFonts w:hint="eastAsia" w:ascii="楷体" w:hAnsi="楷体" w:eastAsia="楷体" w:cs="楷体"/>
          <w:sz w:val="24"/>
        </w:rPr>
        <w:t>杨雨龙（基金经理）：北京大学基础数学学士</w:t>
      </w:r>
      <w:r>
        <w:rPr>
          <w:rFonts w:hint="eastAsia" w:ascii="楷体" w:hAnsi="楷体" w:eastAsia="楷体" w:cs="楷体"/>
          <w:sz w:val="24"/>
        </w:rPr>
        <w:t>，金融数学硕士</w:t>
      </w:r>
      <w:r>
        <w:rPr>
          <w:rFonts w:hint="eastAsia" w:ascii="楷体" w:hAnsi="楷体" w:eastAsia="楷体" w:cs="楷体"/>
          <w:color w:val="000000"/>
          <w:sz w:val="24"/>
        </w:rPr>
        <w:t>。</w:t>
      </w:r>
      <w:r>
        <w:rPr>
          <w:rFonts w:hint="eastAsia" w:ascii="楷体" w:hAnsi="楷体" w:eastAsia="楷体" w:cs="楷体"/>
          <w:color w:val="000000"/>
          <w:sz w:val="24"/>
        </w:rPr>
        <w:t>2009至2011在博时基金交易部担任股票交易员，2011至2014在兴业证券担任金融工程高级分析师。2014年-2017年加入</w:t>
      </w:r>
      <w:r>
        <w:rPr>
          <w:rFonts w:hint="eastAsia" w:ascii="楷体" w:hAnsi="楷体" w:eastAsia="楷体" w:cs="楷体"/>
          <w:b w:val="0"/>
          <w:i w:val="0"/>
          <w:strike w:val="0"/>
          <w:dstrike w:val="0"/>
          <w:color w:val="000000"/>
          <w:spacing w:val="0"/>
          <w:w w:val="100"/>
          <w:kern w:val="2"/>
          <w:sz w:val="24"/>
          <w:szCs w:val="24"/>
          <w:u w:val="none"/>
          <w:vertAlign w:val="baseline"/>
          <w:rtl w:val="0"/>
          <w:lang w:val="en-US" w:bidi="en-US"/>
        </w:rPr>
        <w:t>摩根士丹利华鑫基金管理有限公司任数量化投资部副总监、基金经理。2017-2020担任国金基金量化投资部基金经理。2021年受邀加入</w:t>
      </w:r>
      <w:r>
        <w:rPr>
          <w:rFonts w:hint="eastAsia" w:ascii="楷体" w:hAnsi="楷体" w:eastAsia="楷体" w:cs="楷体"/>
          <w:color w:val="000000"/>
          <w:sz w:val="24"/>
        </w:rPr>
        <w:t>泓赫投资担任基金经理。</w:t>
      </w:r>
    </w:p>
    <w:p>
      <w:pPr>
        <w:numPr>
          <w:ilvl w:val="0"/>
          <w:numId w:val="3"/>
        </w:numPr>
        <w:jc w:val="left"/>
        <w:rPr>
          <w:rFonts w:hint="eastAsia" w:ascii="楷体" w:hAnsi="楷体" w:eastAsia="楷体" w:cs="楷体"/>
          <w:sz w:val="24"/>
        </w:rPr>
      </w:pPr>
      <w:r>
        <w:rPr>
          <w:rFonts w:hint="eastAsia" w:ascii="楷体" w:hAnsi="楷体" w:eastAsia="楷体" w:cs="楷体"/>
          <w:color w:val="000000"/>
          <w:sz w:val="24"/>
        </w:rPr>
        <w:t>陈浩（基金经理，总经理）：毕业院校未透露，2011-2013年</w:t>
      </w:r>
      <w:r>
        <w:rPr>
          <w:rFonts w:hint="eastAsia" w:ascii="楷体" w:hAnsi="楷体" w:eastAsia="楷体" w:cs="楷体"/>
          <w:b w:val="0"/>
          <w:i w:val="0"/>
          <w:strike w:val="0"/>
          <w:dstrike w:val="0"/>
          <w:color w:val="000000"/>
          <w:spacing w:val="0"/>
          <w:w w:val="100"/>
          <w:kern w:val="2"/>
          <w:sz w:val="24"/>
          <w:szCs w:val="24"/>
          <w:u w:val="none"/>
          <w:vertAlign w:val="baseline"/>
          <w:rtl w:val="0"/>
          <w:lang w:val="en-US" w:bidi="en-US"/>
        </w:rPr>
        <w:t>中乾景隆股权投资基</w:t>
      </w:r>
      <w:r>
        <w:rPr>
          <w:rFonts w:hint="eastAsia" w:ascii="楷体" w:hAnsi="楷体" w:eastAsia="楷体" w:cs="楷体"/>
          <w:color w:val="000000"/>
          <w:sz w:val="24"/>
          <w:lang w:val="en-US" w:bidi="en-US"/>
        </w:rPr>
        <w:t>金管理有限公司担任研究员。2013年至2014年在国融证券股份有限公司担任固定收益事业部高级业务经理，2014 - 2017 加入</w:t>
      </w:r>
      <w:r>
        <w:rPr>
          <w:rFonts w:hint="eastAsia" w:ascii="楷体" w:hAnsi="楷体" w:eastAsia="楷体" w:cs="楷体"/>
          <w:b w:val="0"/>
          <w:i w:val="0"/>
          <w:strike w:val="0"/>
          <w:dstrike w:val="0"/>
          <w:color w:val="000000"/>
          <w:spacing w:val="0"/>
          <w:w w:val="100"/>
          <w:kern w:val="2"/>
          <w:sz w:val="24"/>
          <w:szCs w:val="24"/>
          <w:u w:val="none"/>
          <w:vertAlign w:val="baseline"/>
          <w:lang w:val="en-US" w:bidi="en-US"/>
        </w:rPr>
        <w:t>开源证券资产管理部固定收益部担任交易主管和部门经理，2017 - 2018 回到国融证券财富管理部担任总经理助理。2018年接手上海泓赫投资管理有限公司担任总经理，基金经理至今。</w:t>
      </w:r>
    </w:p>
    <w:p>
      <w:pPr>
        <w:numPr>
          <w:ilvl w:val="0"/>
          <w:numId w:val="4"/>
        </w:numPr>
        <w:jc w:val="left"/>
        <w:rPr>
          <w:rFonts w:hint="eastAsia" w:ascii="楷体" w:hAnsi="楷体" w:eastAsia="楷体" w:cs="楷体"/>
          <w:b/>
          <w:sz w:val="24"/>
        </w:rPr>
      </w:pPr>
      <w:r>
        <w:rPr>
          <w:rFonts w:hint="eastAsia" w:ascii="楷体" w:hAnsi="楷体" w:eastAsia="楷体" w:cs="楷体"/>
          <w:b/>
          <w:sz w:val="24"/>
        </w:rPr>
        <w:t>其他人员背景：</w:t>
      </w:r>
    </w:p>
    <w:p>
      <w:pPr>
        <w:ind w:left="420" w:firstLine="420"/>
        <w:jc w:val="left"/>
        <w:rPr>
          <w:rFonts w:hint="eastAsia" w:ascii="楷体" w:hAnsi="楷体" w:eastAsia="楷体" w:cs="楷体"/>
          <w:sz w:val="24"/>
        </w:rPr>
      </w:pPr>
      <w:r>
        <w:rPr>
          <w:rFonts w:hint="eastAsia" w:ascii="楷体" w:hAnsi="楷体" w:eastAsia="楷体" w:cs="楷体"/>
          <w:sz w:val="24"/>
        </w:rPr>
        <w:t>无。</w:t>
      </w:r>
    </w:p>
    <w:p>
      <w:pPr>
        <w:jc w:val="left"/>
        <w:rPr>
          <w:rFonts w:hint="eastAsia" w:ascii="楷体" w:hAnsi="楷体" w:eastAsia="楷体" w:cs="楷体"/>
          <w:sz w:val="24"/>
        </w:rPr>
      </w:pPr>
    </w:p>
    <w:p>
      <w:pPr>
        <w:pStyle w:val="2"/>
        <w:rPr>
          <w:rFonts w:hint="eastAsia" w:ascii="楷体" w:hAnsi="楷体" w:eastAsia="楷体" w:cs="楷体"/>
          <w:sz w:val="24"/>
        </w:rPr>
      </w:pPr>
      <w:r>
        <w:rPr>
          <w:rFonts w:hint="eastAsia" w:ascii="楷体" w:hAnsi="楷体" w:eastAsia="楷体" w:cs="楷体"/>
        </w:rPr>
        <w:t>投资策略</w:t>
      </w:r>
    </w:p>
    <w:p>
      <w:pPr>
        <w:numPr>
          <w:ilvl w:val="0"/>
          <w:numId w:val="4"/>
        </w:numPr>
        <w:jc w:val="left"/>
        <w:rPr>
          <w:rFonts w:hint="eastAsia" w:ascii="楷体" w:hAnsi="楷体" w:eastAsia="楷体" w:cs="楷体"/>
          <w:b/>
          <w:sz w:val="24"/>
        </w:rPr>
      </w:pPr>
      <w:r>
        <w:rPr>
          <w:rFonts w:hint="eastAsia" w:ascii="楷体" w:hAnsi="楷体" w:eastAsia="楷体" w:cs="楷体"/>
          <w:b/>
          <w:sz w:val="24"/>
        </w:rPr>
        <w:t>策略分类：</w:t>
      </w:r>
    </w:p>
    <w:p>
      <w:pPr>
        <w:ind w:left="420" w:firstLine="420"/>
        <w:jc w:val="left"/>
        <w:rPr>
          <w:rFonts w:hint="eastAsia" w:ascii="楷体" w:hAnsi="楷体" w:eastAsia="楷体" w:cs="楷体"/>
          <w:sz w:val="24"/>
        </w:rPr>
      </w:pPr>
      <w:r>
        <w:rPr>
          <w:rFonts w:hint="eastAsia" w:ascii="楷体" w:hAnsi="楷体" w:eastAsia="楷体" w:cs="楷体"/>
          <w:sz w:val="24"/>
        </w:rPr>
        <w:t xml:space="preserve">股票策略 </w:t>
      </w:r>
      <w:r>
        <w:rPr>
          <w:rFonts w:hint="eastAsia" w:ascii="楷体" w:hAnsi="楷体" w:eastAsia="楷体" w:cs="楷体"/>
          <w:sz w:val="24"/>
        </w:rPr>
        <w:t>- 量化多头（空气指增）</w:t>
      </w:r>
    </w:p>
    <w:p>
      <w:pPr>
        <w:numPr>
          <w:ilvl w:val="0"/>
          <w:numId w:val="4"/>
        </w:numPr>
        <w:jc w:val="left"/>
        <w:rPr>
          <w:rFonts w:hint="eastAsia" w:ascii="楷体" w:hAnsi="楷体" w:eastAsia="楷体" w:cs="楷体"/>
          <w:b/>
          <w:sz w:val="24"/>
        </w:rPr>
      </w:pPr>
      <w:r>
        <w:rPr>
          <w:rFonts w:hint="eastAsia" w:ascii="楷体" w:hAnsi="楷体" w:eastAsia="楷体" w:cs="楷体"/>
          <w:b/>
          <w:sz w:val="24"/>
        </w:rPr>
        <w:t>大类资产配置：</w:t>
      </w:r>
    </w:p>
    <w:p>
      <w:pPr>
        <w:ind w:left="420" w:firstLine="420"/>
        <w:jc w:val="left"/>
        <w:rPr>
          <w:rFonts w:hint="eastAsia" w:ascii="楷体" w:hAnsi="楷体" w:eastAsia="楷体" w:cs="楷体"/>
          <w:sz w:val="24"/>
        </w:rPr>
      </w:pPr>
      <w:r>
        <w:rPr>
          <w:rFonts w:hint="eastAsia" w:ascii="楷体" w:hAnsi="楷体" w:eastAsia="楷体" w:cs="楷体"/>
          <w:sz w:val="24"/>
        </w:rPr>
        <w:t>A 股</w:t>
      </w:r>
    </w:p>
    <w:p>
      <w:pPr>
        <w:numPr>
          <w:ilvl w:val="0"/>
          <w:numId w:val="4"/>
        </w:numPr>
        <w:jc w:val="left"/>
        <w:rPr>
          <w:rFonts w:hint="eastAsia" w:ascii="楷体" w:hAnsi="楷体" w:eastAsia="楷体" w:cs="楷体"/>
          <w:b/>
          <w:sz w:val="24"/>
        </w:rPr>
      </w:pPr>
      <w:r>
        <w:rPr>
          <w:rFonts w:hint="eastAsia" w:ascii="楷体" w:hAnsi="楷体" w:eastAsia="楷体" w:cs="楷体"/>
          <w:b/>
          <w:sz w:val="24"/>
        </w:rPr>
        <w:t>配置逻辑：</w:t>
      </w:r>
    </w:p>
    <w:p>
      <w:pPr>
        <w:ind w:left="420" w:firstLine="420"/>
        <w:jc w:val="left"/>
        <w:rPr>
          <w:rFonts w:hint="eastAsia" w:ascii="楷体" w:hAnsi="楷体" w:eastAsia="楷体" w:cs="楷体"/>
          <w:color w:val="000000"/>
          <w:sz w:val="24"/>
        </w:rPr>
      </w:pPr>
      <w:r>
        <w:rPr>
          <w:rFonts w:hint="eastAsia" w:ascii="楷体" w:hAnsi="楷体" w:eastAsia="楷体" w:cs="楷体"/>
          <w:color w:val="000000"/>
          <w:sz w:val="24"/>
        </w:rPr>
        <w:t>本次尽调主要覆盖杨雨龙管理的空气指增产品</w:t>
      </w:r>
      <w:r>
        <w:rPr>
          <w:rFonts w:hint="eastAsia" w:ascii="楷体" w:hAnsi="楷体" w:eastAsia="楷体" w:cs="楷体"/>
          <w:color w:val="000000"/>
          <w:sz w:val="24"/>
        </w:rPr>
        <w:t>。</w:t>
      </w:r>
    </w:p>
    <w:p>
      <w:pPr>
        <w:ind w:left="420" w:firstLine="420"/>
        <w:jc w:val="left"/>
        <w:rPr>
          <w:rFonts w:hint="eastAsia" w:ascii="楷体" w:hAnsi="楷体" w:eastAsia="楷体" w:cs="楷体"/>
          <w:color w:val="000000"/>
          <w:sz w:val="24"/>
        </w:rPr>
      </w:pPr>
      <w:r>
        <w:rPr>
          <w:rFonts w:hint="eastAsia" w:ascii="楷体" w:hAnsi="楷体" w:eastAsia="楷体" w:cs="楷体"/>
          <w:color w:val="000000"/>
          <w:sz w:val="24"/>
        </w:rPr>
        <w:t>管理人早期在博时基金担任交易员，对量价类信号有着个人的理解，后总结出一套基于量价+基本面的多因子选股模型。所有因子均为人工挖掘的有逻辑的因子，模型也以排序打分为主，组合和因子挖掘均没有用到机器学习。基本面因子占 30%，主要是财务指标（PE，PB，EBITDA 等），以及分析师语气和预期变动。量价类因子占70%，主要为动量反转，技术指标，以及管理人特有的，根据经验总结的模式识别和高频盘口数据因子。</w:t>
      </w:r>
    </w:p>
    <w:p>
      <w:pPr>
        <w:ind w:left="420" w:firstLine="420"/>
        <w:jc w:val="left"/>
        <w:rPr>
          <w:rFonts w:hint="eastAsia" w:ascii="楷体" w:hAnsi="楷体" w:eastAsia="楷体" w:cs="楷体"/>
          <w:color w:val="000000"/>
          <w:sz w:val="24"/>
        </w:rPr>
      </w:pPr>
      <w:r>
        <w:rPr>
          <w:rFonts w:hint="eastAsia" w:ascii="楷体" w:hAnsi="楷体" w:eastAsia="楷体" w:cs="楷体"/>
          <w:color w:val="000000"/>
          <w:sz w:val="24"/>
        </w:rPr>
        <w:t>模式识别因子是管理人从交易员时期就</w:t>
      </w:r>
      <w:bookmarkStart w:id="0" w:name="_GoBack"/>
      <w:bookmarkEnd w:id="0"/>
      <w:r>
        <w:rPr>
          <w:rFonts w:hint="eastAsia" w:ascii="楷体" w:hAnsi="楷体" w:eastAsia="楷体" w:cs="楷体"/>
          <w:color w:val="000000"/>
          <w:sz w:val="24"/>
        </w:rPr>
        <w:t>开始挖掘的另类量价因子，管理人通过数理统计规律，从 A 股大盘 30 年的走势图中，识别出走势相似的部分，总结出了几十个从统计学意义上相似的波动模式因子。每天根据大盘走势，通过模式识别，预测大盘接下来的走势，以提高开仓胜率。高频盘口因子则是由于管理人发现，不同数据提供商的如资金净流入/出数据有显著差异，因此管理人自己根据早年交易经验，获取秒级盘口数据，自行将其按照自研公式合成一些另类的量价因子。一来避免直接从提供商采购的数据有误，二来避免了赛道拥挤。对于传统的量价类因子，管理人也会在上面做精细加工，例如反转因子，管理人会同时对走势曲线进行二次求导，将个股的跌/涨的曲率也做成因子，而非单纯的去看相对位置。</w:t>
      </w:r>
    </w:p>
    <w:p>
      <w:pPr>
        <w:ind w:left="420" w:firstLine="420"/>
        <w:jc w:val="left"/>
        <w:rPr>
          <w:rFonts w:hint="eastAsia" w:ascii="楷体" w:hAnsi="楷体" w:eastAsia="楷体" w:cs="楷体"/>
          <w:color w:val="000000"/>
          <w:sz w:val="24"/>
          <w:highlight w:val="yellow"/>
        </w:rPr>
      </w:pPr>
      <w:r>
        <w:rPr>
          <w:rFonts w:hint="eastAsia" w:ascii="楷体" w:hAnsi="楷体" w:eastAsia="楷体" w:cs="楷体"/>
          <w:color w:val="000000"/>
          <w:sz w:val="24"/>
        </w:rPr>
        <w:t>在因子组合上，管理人会参考因子相关性和因子收益率曲线，把相关性高或收益率相似的因子进行线性合成，同时主观控制每一个大类的因子的权重。目前经过合成后的大类因子不到 100 个，因子的权重上接近等权。策略迭代上面，管理人表示这套模型从2010年开始开发，已经经过了市场的验证，因子上以小修小补为主，不会进行大改。现在唯一感觉到危机的则是机器学习的广泛使用会对这套模型产生影响。因此现在也在逐渐探索机器学习的模型在现有因子上的应用。</w:t>
      </w:r>
    </w:p>
    <w:p>
      <w:pPr>
        <w:numPr>
          <w:ilvl w:val="0"/>
          <w:numId w:val="4"/>
        </w:numPr>
        <w:jc w:val="left"/>
        <w:rPr>
          <w:rFonts w:hint="eastAsia" w:ascii="楷体" w:hAnsi="楷体" w:eastAsia="楷体" w:cs="楷体"/>
          <w:b/>
          <w:sz w:val="24"/>
        </w:rPr>
      </w:pPr>
      <w:r>
        <w:rPr>
          <w:rFonts w:hint="eastAsia" w:ascii="楷体" w:hAnsi="楷体" w:eastAsia="楷体" w:cs="楷体"/>
          <w:b/>
          <w:sz w:val="24"/>
        </w:rPr>
        <w:t>持仓特征：</w:t>
      </w:r>
    </w:p>
    <w:p>
      <w:pPr>
        <w:ind w:left="420" w:firstLine="420"/>
        <w:jc w:val="left"/>
        <w:rPr>
          <w:rFonts w:hint="eastAsia" w:ascii="楷体" w:hAnsi="楷体" w:eastAsia="楷体" w:cs="楷体"/>
          <w:sz w:val="24"/>
        </w:rPr>
      </w:pPr>
      <w:r>
        <w:rPr>
          <w:rFonts w:hint="eastAsia" w:ascii="楷体" w:hAnsi="楷体" w:eastAsia="楷体" w:cs="楷体"/>
          <w:sz w:val="24"/>
        </w:rPr>
        <w:t>为空气指增产品</w:t>
      </w:r>
      <w:r>
        <w:rPr>
          <w:rFonts w:hint="eastAsia" w:ascii="楷体" w:hAnsi="楷体" w:eastAsia="楷体" w:cs="楷体"/>
          <w:sz w:val="24"/>
        </w:rPr>
        <w:t>，</w:t>
      </w:r>
      <w:r>
        <w:rPr>
          <w:rFonts w:hint="eastAsia" w:ascii="楷体" w:hAnsi="楷体" w:eastAsia="楷体" w:cs="楷体"/>
          <w:sz w:val="24"/>
        </w:rPr>
        <w:t>全市场选股</w:t>
      </w:r>
      <w:r>
        <w:rPr>
          <w:rFonts w:hint="eastAsia" w:ascii="楷体" w:hAnsi="楷体" w:eastAsia="楷体" w:cs="楷体"/>
          <w:sz w:val="24"/>
        </w:rPr>
        <w:t>，</w:t>
      </w:r>
      <w:r>
        <w:rPr>
          <w:rFonts w:hint="eastAsia" w:ascii="楷体" w:hAnsi="楷体" w:eastAsia="楷体" w:cs="楷体"/>
          <w:sz w:val="24"/>
        </w:rPr>
        <w:t>分散持有 1</w:t>
      </w:r>
      <w:r>
        <w:rPr>
          <w:rFonts w:hint="eastAsia" w:ascii="楷体" w:hAnsi="楷体" w:eastAsia="楷体" w:cs="楷体"/>
          <w:sz w:val="24"/>
        </w:rPr>
        <w:t>50-200 只票，单票最高不超过 1.5%</w:t>
      </w:r>
      <w:r>
        <w:rPr>
          <w:rFonts w:hint="eastAsia" w:ascii="楷体" w:hAnsi="楷体" w:eastAsia="楷体" w:cs="楷体"/>
          <w:sz w:val="24"/>
        </w:rPr>
        <w:t>。</w:t>
      </w:r>
      <w:r>
        <w:rPr>
          <w:rFonts w:hint="eastAsia" w:ascii="楷体" w:hAnsi="楷体" w:eastAsia="楷体" w:cs="楷体"/>
          <w:sz w:val="24"/>
        </w:rPr>
        <w:t>20%-30%为500指数成分股，因此管理人一般将产品业绩与中证500进行比较，市值中位数与中证1000比较接近。不控 barra因子暴露，不控偏离度。</w:t>
      </w:r>
    </w:p>
    <w:p>
      <w:pPr>
        <w:numPr>
          <w:ilvl w:val="0"/>
          <w:numId w:val="4"/>
        </w:numPr>
        <w:jc w:val="left"/>
        <w:rPr>
          <w:rFonts w:hint="eastAsia" w:ascii="楷体" w:hAnsi="楷体" w:eastAsia="楷体" w:cs="楷体"/>
          <w:b/>
          <w:sz w:val="24"/>
        </w:rPr>
      </w:pPr>
      <w:r>
        <w:rPr>
          <w:rFonts w:hint="eastAsia" w:ascii="楷体" w:hAnsi="楷体" w:eastAsia="楷体" w:cs="楷体"/>
          <w:b/>
          <w:sz w:val="24"/>
        </w:rPr>
        <w:t>交易风格：</w:t>
      </w:r>
    </w:p>
    <w:p>
      <w:pPr>
        <w:ind w:left="420" w:firstLine="420"/>
        <w:jc w:val="left"/>
        <w:rPr>
          <w:rFonts w:hint="eastAsia" w:ascii="楷体" w:hAnsi="楷体" w:eastAsia="楷体" w:cs="楷体"/>
          <w:color w:val="000000"/>
          <w:sz w:val="24"/>
        </w:rPr>
      </w:pPr>
      <w:r>
        <w:rPr>
          <w:rFonts w:hint="eastAsia" w:ascii="楷体" w:hAnsi="楷体" w:eastAsia="楷体" w:cs="楷体"/>
          <w:color w:val="000000"/>
          <w:sz w:val="24"/>
        </w:rPr>
        <w:t>满仓运作</w:t>
      </w:r>
      <w:r>
        <w:rPr>
          <w:rFonts w:hint="eastAsia" w:ascii="楷体" w:hAnsi="楷体" w:eastAsia="楷体" w:cs="楷体"/>
          <w:color w:val="000000"/>
          <w:sz w:val="24"/>
        </w:rPr>
        <w:t>，</w:t>
      </w:r>
      <w:r>
        <w:rPr>
          <w:rFonts w:hint="eastAsia" w:ascii="楷体" w:hAnsi="楷体" w:eastAsia="楷体" w:cs="楷体"/>
          <w:color w:val="000000"/>
          <w:sz w:val="24"/>
        </w:rPr>
        <w:t>每周调一次仓</w:t>
      </w:r>
      <w:r>
        <w:rPr>
          <w:rFonts w:hint="eastAsia" w:ascii="楷体" w:hAnsi="楷体" w:eastAsia="楷体" w:cs="楷体"/>
          <w:color w:val="000000"/>
          <w:sz w:val="24"/>
        </w:rPr>
        <w:t>，年换手率 12 倍</w:t>
      </w:r>
    </w:p>
    <w:p>
      <w:pPr>
        <w:numPr>
          <w:ilvl w:val="0"/>
          <w:numId w:val="4"/>
        </w:numPr>
        <w:jc w:val="left"/>
        <w:rPr>
          <w:rFonts w:hint="eastAsia" w:ascii="楷体" w:hAnsi="楷体" w:eastAsia="楷体" w:cs="楷体"/>
          <w:b/>
          <w:sz w:val="24"/>
        </w:rPr>
      </w:pPr>
      <w:r>
        <w:rPr>
          <w:rFonts w:hint="eastAsia" w:ascii="楷体" w:hAnsi="楷体" w:eastAsia="楷体" w:cs="楷体"/>
          <w:b/>
          <w:sz w:val="24"/>
        </w:rPr>
        <w:t>容量</w:t>
      </w:r>
      <w:r>
        <w:rPr>
          <w:rFonts w:hint="eastAsia" w:ascii="楷体" w:hAnsi="楷体" w:eastAsia="楷体" w:cs="楷体"/>
          <w:b/>
          <w:color w:val="000000"/>
          <w:sz w:val="24"/>
        </w:rPr>
        <w:t>：</w:t>
      </w:r>
    </w:p>
    <w:p>
      <w:pPr>
        <w:ind w:left="420" w:firstLine="420"/>
        <w:jc w:val="left"/>
        <w:rPr>
          <w:rFonts w:hint="eastAsia" w:ascii="楷体" w:hAnsi="楷体" w:eastAsia="楷体" w:cs="楷体"/>
          <w:sz w:val="24"/>
        </w:rPr>
      </w:pPr>
      <w:r>
        <w:rPr>
          <w:rFonts w:hint="eastAsia" w:ascii="楷体" w:hAnsi="楷体" w:eastAsia="楷体" w:cs="楷体"/>
          <w:sz w:val="24"/>
        </w:rPr>
        <w:t>50 亿</w:t>
      </w:r>
    </w:p>
    <w:p>
      <w:pPr>
        <w:jc w:val="left"/>
        <w:rPr>
          <w:rFonts w:hint="eastAsia" w:ascii="楷体" w:hAnsi="楷体" w:eastAsia="楷体" w:cs="楷体"/>
          <w:sz w:val="24"/>
        </w:rPr>
      </w:pPr>
    </w:p>
    <w:p>
      <w:pPr>
        <w:pStyle w:val="2"/>
        <w:rPr>
          <w:rFonts w:hint="eastAsia" w:ascii="楷体" w:hAnsi="楷体" w:eastAsia="楷体" w:cs="楷体"/>
          <w:sz w:val="24"/>
        </w:rPr>
      </w:pPr>
      <w:r>
        <w:rPr>
          <w:rFonts w:hint="eastAsia" w:ascii="楷体" w:hAnsi="楷体" w:eastAsia="楷体" w:cs="楷体"/>
        </w:rPr>
        <w:t>风险控制</w:t>
      </w:r>
    </w:p>
    <w:p>
      <w:pPr>
        <w:numPr>
          <w:ilvl w:val="0"/>
          <w:numId w:val="4"/>
        </w:numPr>
        <w:jc w:val="left"/>
        <w:rPr>
          <w:rFonts w:hint="eastAsia" w:ascii="楷体" w:hAnsi="楷体" w:eastAsia="楷体" w:cs="楷体"/>
          <w:b/>
          <w:sz w:val="24"/>
        </w:rPr>
      </w:pPr>
      <w:r>
        <w:rPr>
          <w:rFonts w:hint="eastAsia" w:ascii="楷体" w:hAnsi="楷体" w:eastAsia="楷体" w:cs="楷体"/>
          <w:b/>
          <w:sz w:val="24"/>
        </w:rPr>
        <w:t>风控手段：</w:t>
      </w:r>
    </w:p>
    <w:p>
      <w:pPr>
        <w:ind w:left="420"/>
        <w:jc w:val="left"/>
        <w:rPr>
          <w:rFonts w:hint="eastAsia" w:ascii="楷体" w:hAnsi="楷体" w:eastAsia="楷体" w:cs="楷体"/>
          <w:b/>
          <w:sz w:val="24"/>
        </w:rPr>
      </w:pPr>
      <w:r>
        <w:rPr>
          <w:rFonts w:hint="eastAsia" w:ascii="楷体" w:hAnsi="楷体" w:eastAsia="楷体" w:cs="楷体"/>
          <w:b/>
          <w:sz w:val="24"/>
        </w:rPr>
        <w:tab/>
      </w:r>
      <w:r>
        <w:rPr>
          <w:rFonts w:hint="eastAsia" w:ascii="楷体" w:hAnsi="楷体" w:eastAsia="楷体" w:cs="楷体"/>
          <w:sz w:val="24"/>
        </w:rPr>
        <w:t>主要通过分散持仓降低风险</w:t>
      </w:r>
      <w:r>
        <w:rPr>
          <w:rFonts w:hint="eastAsia" w:ascii="楷体" w:hAnsi="楷体" w:eastAsia="楷体" w:cs="楷体"/>
          <w:sz w:val="24"/>
        </w:rPr>
        <w:t>，持有 150-200 只个股，个股上限1.5% ，不设单个股止损线，不约束 barra 风险因子暴露。周末会对策略进行复盘，持续关注因子表现。但观察周期较长，一般持续半年以上因子表现不佳，才会考虑降低权重或者剔除。</w:t>
      </w:r>
    </w:p>
    <w:p>
      <w:pPr>
        <w:numPr>
          <w:ilvl w:val="0"/>
          <w:numId w:val="4"/>
        </w:numPr>
        <w:jc w:val="left"/>
        <w:rPr>
          <w:rFonts w:hint="eastAsia" w:ascii="楷体" w:hAnsi="楷体" w:eastAsia="楷体" w:cs="楷体"/>
          <w:b/>
          <w:sz w:val="24"/>
        </w:rPr>
      </w:pPr>
      <w:r>
        <w:rPr>
          <w:rFonts w:hint="eastAsia" w:ascii="楷体" w:hAnsi="楷体" w:eastAsia="楷体" w:cs="楷体"/>
          <w:b/>
          <w:sz w:val="24"/>
        </w:rPr>
        <w:t>风控效果：</w:t>
      </w:r>
    </w:p>
    <w:p>
      <w:pPr>
        <w:ind w:left="420" w:firstLine="420"/>
        <w:jc w:val="left"/>
        <w:rPr>
          <w:rFonts w:hint="eastAsia" w:ascii="楷体" w:hAnsi="楷体" w:eastAsia="楷体" w:cs="楷体"/>
          <w:color w:val="000000"/>
          <w:sz w:val="24"/>
        </w:rPr>
      </w:pPr>
      <w:r>
        <w:rPr>
          <w:rFonts w:hint="eastAsia" w:ascii="楷体" w:hAnsi="楷体" w:eastAsia="楷体" w:cs="楷体"/>
          <w:color w:val="000000"/>
          <w:sz w:val="24"/>
        </w:rPr>
        <w:t>参考</w:t>
      </w:r>
      <w:r>
        <w:rPr>
          <w:rFonts w:hint="eastAsia" w:ascii="楷体" w:hAnsi="楷体" w:eastAsia="楷体" w:cs="楷体"/>
          <w:b w:val="0"/>
          <w:i w:val="0"/>
          <w:strike w:val="0"/>
          <w:dstrike w:val="0"/>
          <w:color w:val="000000"/>
          <w:spacing w:val="0"/>
          <w:w w:val="100"/>
          <w:kern w:val="2"/>
          <w:sz w:val="24"/>
          <w:szCs w:val="24"/>
          <w:u w:val="none"/>
          <w:vertAlign w:val="baseline"/>
          <w:rtl w:val="0"/>
          <w:lang w:val="en-US" w:bidi="en-US"/>
        </w:rPr>
        <w:t>泓赫股票精选</w:t>
      </w:r>
      <w:r>
        <w:rPr>
          <w:rFonts w:hint="eastAsia" w:ascii="楷体" w:hAnsi="楷体" w:eastAsia="楷体" w:cs="楷体"/>
          <w:color w:val="000000"/>
          <w:sz w:val="24"/>
        </w:rPr>
        <w:t>，运行</w:t>
      </w:r>
      <w:r>
        <w:rPr>
          <w:rFonts w:hint="eastAsia" w:ascii="楷体" w:hAnsi="楷体" w:eastAsia="楷体" w:cs="楷体"/>
          <w:color w:val="000000"/>
          <w:sz w:val="24"/>
        </w:rPr>
        <w:t>1</w:t>
      </w:r>
      <w:r>
        <w:rPr>
          <w:rFonts w:hint="eastAsia" w:ascii="楷体" w:hAnsi="楷体" w:eastAsia="楷体" w:cs="楷体"/>
          <w:color w:val="000000"/>
          <w:sz w:val="24"/>
        </w:rPr>
        <w:t>年</w:t>
      </w:r>
      <w:r>
        <w:rPr>
          <w:rFonts w:hint="eastAsia" w:ascii="楷体" w:hAnsi="楷体" w:eastAsia="楷体" w:cs="楷体"/>
          <w:color w:val="000000"/>
          <w:sz w:val="24"/>
        </w:rPr>
        <w:t>7 个月</w:t>
      </w:r>
      <w:r>
        <w:rPr>
          <w:rFonts w:hint="eastAsia" w:ascii="楷体" w:hAnsi="楷体" w:eastAsia="楷体" w:cs="楷体"/>
          <w:color w:val="000000"/>
          <w:sz w:val="24"/>
        </w:rPr>
        <w:t>，最大回撤</w:t>
      </w:r>
      <w:r>
        <w:rPr>
          <w:rFonts w:hint="eastAsia" w:ascii="楷体" w:hAnsi="楷体" w:eastAsia="楷体" w:cs="楷体"/>
          <w:color w:val="000000"/>
          <w:sz w:val="24"/>
        </w:rPr>
        <w:t>13.15</w:t>
      </w:r>
      <w:r>
        <w:rPr>
          <w:rFonts w:hint="eastAsia" w:ascii="楷体" w:hAnsi="楷体" w:eastAsia="楷体" w:cs="楷体"/>
          <w:color w:val="000000"/>
          <w:sz w:val="24"/>
        </w:rPr>
        <w:t>%，发生在</w:t>
      </w:r>
      <w:r>
        <w:rPr>
          <w:rFonts w:hint="eastAsia" w:ascii="楷体" w:hAnsi="楷体" w:eastAsia="楷体" w:cs="楷体"/>
          <w:color w:val="000000"/>
          <w:sz w:val="24"/>
        </w:rPr>
        <w:t>2024年1月23日，至今未修复。</w:t>
      </w:r>
      <w:r>
        <w:rPr>
          <w:rFonts w:hint="eastAsia" w:ascii="楷体" w:hAnsi="楷体" w:eastAsia="楷体" w:cs="楷体"/>
          <w:color w:val="000000"/>
          <w:sz w:val="24"/>
        </w:rPr>
        <w:t>对标中证</w:t>
      </w:r>
      <w:r>
        <w:rPr>
          <w:rFonts w:hint="eastAsia" w:ascii="楷体" w:hAnsi="楷体" w:eastAsia="楷体" w:cs="楷体"/>
          <w:color w:val="000000"/>
          <w:sz w:val="24"/>
        </w:rPr>
        <w:t>500，</w:t>
      </w:r>
      <w:r>
        <w:rPr>
          <w:rFonts w:hint="eastAsia" w:ascii="楷体" w:hAnsi="楷体" w:eastAsia="楷体" w:cs="楷体"/>
          <w:color w:val="000000"/>
          <w:sz w:val="24"/>
        </w:rPr>
        <w:t>超额最大回撤</w:t>
      </w:r>
      <w:r>
        <w:rPr>
          <w:rFonts w:hint="eastAsia" w:ascii="楷体" w:hAnsi="楷体" w:eastAsia="楷体" w:cs="楷体"/>
          <w:color w:val="000000"/>
          <w:sz w:val="24"/>
        </w:rPr>
        <w:t>7.91%，超额</w:t>
      </w:r>
      <w:r>
        <w:rPr>
          <w:rFonts w:hint="eastAsia" w:ascii="楷体" w:hAnsi="楷体" w:eastAsia="楷体" w:cs="楷体"/>
          <w:color w:val="000000"/>
          <w:sz w:val="24"/>
        </w:rPr>
        <w:t>1个月内修复。近1年最大回撤排名前</w:t>
      </w:r>
      <w:r>
        <w:rPr>
          <w:rFonts w:hint="eastAsia" w:ascii="楷体" w:hAnsi="楷体" w:eastAsia="楷体" w:cs="楷体"/>
          <w:color w:val="000000"/>
          <w:sz w:val="24"/>
        </w:rPr>
        <w:t>44%</w:t>
      </w:r>
      <w:r>
        <w:rPr>
          <w:rFonts w:hint="eastAsia" w:ascii="楷体" w:hAnsi="楷体" w:eastAsia="楷体" w:cs="楷体"/>
          <w:color w:val="000000"/>
          <w:sz w:val="24"/>
        </w:rPr>
        <w:t>，夏普排名前1</w:t>
      </w:r>
      <w:r>
        <w:rPr>
          <w:rFonts w:hint="eastAsia" w:ascii="楷体" w:hAnsi="楷体" w:eastAsia="楷体" w:cs="楷体"/>
          <w:color w:val="000000"/>
          <w:sz w:val="24"/>
        </w:rPr>
        <w:t>4</w:t>
      </w:r>
      <w:r>
        <w:rPr>
          <w:rFonts w:hint="eastAsia" w:ascii="楷体" w:hAnsi="楷体" w:eastAsia="楷体" w:cs="楷体"/>
          <w:color w:val="000000"/>
          <w:sz w:val="24"/>
        </w:rPr>
        <w:t>%。风控效果一般。</w:t>
      </w:r>
    </w:p>
    <w:p>
      <w:pPr>
        <w:jc w:val="left"/>
        <w:rPr>
          <w:rFonts w:hint="eastAsia" w:ascii="楷体" w:hAnsi="楷体" w:eastAsia="楷体" w:cs="楷体"/>
          <w:sz w:val="24"/>
        </w:rPr>
      </w:pPr>
    </w:p>
    <w:p>
      <w:pPr>
        <w:pStyle w:val="2"/>
        <w:rPr>
          <w:rFonts w:hint="eastAsia" w:ascii="楷体" w:hAnsi="楷体" w:eastAsia="楷体" w:cs="楷体"/>
          <w:sz w:val="24"/>
        </w:rPr>
      </w:pPr>
      <w:r>
        <w:rPr>
          <w:rFonts w:hint="eastAsia" w:ascii="楷体" w:hAnsi="楷体" w:eastAsia="楷体" w:cs="楷体"/>
        </w:rPr>
        <w:t>产品情况</w:t>
      </w:r>
    </w:p>
    <w:p>
      <w:pPr>
        <w:numPr>
          <w:ilvl w:val="0"/>
          <w:numId w:val="4"/>
        </w:numPr>
        <w:jc w:val="left"/>
        <w:rPr>
          <w:rFonts w:hint="eastAsia" w:ascii="楷体" w:hAnsi="楷体" w:eastAsia="楷体" w:cs="楷体"/>
          <w:b/>
          <w:sz w:val="24"/>
        </w:rPr>
      </w:pPr>
      <w:r>
        <w:rPr>
          <w:rFonts w:hint="eastAsia" w:ascii="楷体" w:hAnsi="楷体" w:eastAsia="楷体" w:cs="楷体"/>
          <w:b/>
          <w:sz w:val="24"/>
        </w:rPr>
        <w:t>管理规模：</w:t>
      </w:r>
    </w:p>
    <w:p>
      <w:pPr>
        <w:ind w:left="420" w:firstLine="420"/>
        <w:jc w:val="left"/>
        <w:rPr>
          <w:rFonts w:hint="eastAsia" w:ascii="楷体" w:hAnsi="楷体" w:eastAsia="楷体" w:cs="楷体"/>
          <w:color w:val="FF0000"/>
          <w:sz w:val="24"/>
        </w:rPr>
      </w:pPr>
      <w:r>
        <w:rPr>
          <w:rFonts w:hint="eastAsia" w:ascii="楷体" w:hAnsi="楷体" w:eastAsia="楷体" w:cs="楷体"/>
          <w:color w:val="000000"/>
          <w:sz w:val="24"/>
        </w:rPr>
        <w:t>管理规模3亿。其中空气指增 3</w:t>
      </w:r>
      <w:r>
        <w:rPr>
          <w:rFonts w:hint="eastAsia" w:ascii="楷体" w:hAnsi="楷体" w:eastAsia="楷体" w:cs="楷体"/>
          <w:color w:val="000000"/>
          <w:sz w:val="24"/>
        </w:rPr>
        <w:t>000 万</w:t>
      </w:r>
      <w:r>
        <w:rPr>
          <w:rFonts w:hint="eastAsia" w:ascii="楷体" w:hAnsi="楷体" w:eastAsia="楷体" w:cs="楷体"/>
          <w:color w:val="000000"/>
          <w:sz w:val="24"/>
        </w:rPr>
        <w:t>，剩余为城投</w:t>
      </w:r>
      <w:r>
        <w:rPr>
          <w:rFonts w:hint="eastAsia" w:ascii="楷体" w:hAnsi="楷体" w:eastAsia="楷体" w:cs="楷体"/>
          <w:color w:val="000000"/>
          <w:sz w:val="24"/>
        </w:rPr>
        <w:t>+协议回购+信用债交易套利的债券复合策略，以及少量的自营主观多头策略。</w:t>
      </w:r>
    </w:p>
    <w:p>
      <w:pPr>
        <w:ind w:left="420" w:firstLine="420"/>
        <w:jc w:val="left"/>
        <w:rPr>
          <w:rFonts w:hint="eastAsia" w:ascii="楷体" w:hAnsi="楷体" w:eastAsia="楷体" w:cs="楷体"/>
          <w:color w:val="000000"/>
          <w:sz w:val="24"/>
        </w:rPr>
      </w:pPr>
      <w:r>
        <w:rPr>
          <w:rFonts w:hint="eastAsia" w:ascii="楷体" w:hAnsi="楷体" w:eastAsia="楷体" w:cs="楷体"/>
          <w:color w:val="000000"/>
          <w:sz w:val="24"/>
        </w:rPr>
        <w:t>资金来源方面，50%为机构直销资金，50%为个人高净、员工跟投资金。</w:t>
      </w:r>
    </w:p>
    <w:p>
      <w:pPr>
        <w:numPr>
          <w:ilvl w:val="0"/>
          <w:numId w:val="4"/>
        </w:numPr>
        <w:jc w:val="left"/>
        <w:rPr>
          <w:rFonts w:hint="eastAsia" w:ascii="楷体" w:hAnsi="楷体" w:eastAsia="楷体" w:cs="楷体"/>
          <w:b/>
          <w:color w:val="000000"/>
          <w:sz w:val="24"/>
        </w:rPr>
      </w:pPr>
      <w:r>
        <w:rPr>
          <w:rFonts w:hint="eastAsia" w:ascii="楷体" w:hAnsi="楷体" w:eastAsia="楷体" w:cs="楷体"/>
          <w:b/>
          <w:sz w:val="24"/>
        </w:rPr>
        <w:t>产品概述：</w:t>
      </w:r>
    </w:p>
    <w:p>
      <w:pPr>
        <w:ind w:left="420" w:firstLine="420"/>
        <w:jc w:val="left"/>
        <w:rPr>
          <w:rFonts w:hint="eastAsia" w:ascii="楷体" w:hAnsi="楷体" w:eastAsia="楷体" w:cs="楷体"/>
          <w:color w:val="FF0000"/>
          <w:sz w:val="24"/>
        </w:rPr>
      </w:pPr>
      <w:r>
        <w:rPr>
          <w:rFonts w:hint="eastAsia" w:ascii="楷体" w:hAnsi="楷体" w:eastAsia="楷体" w:cs="楷体"/>
          <w:color w:val="000000"/>
          <w:sz w:val="24"/>
        </w:rPr>
        <w:t>运行产品</w:t>
      </w:r>
      <w:r>
        <w:rPr>
          <w:rFonts w:hint="eastAsia" w:ascii="楷体" w:hAnsi="楷体" w:eastAsia="楷体" w:cs="楷体"/>
          <w:color w:val="000000"/>
          <w:sz w:val="24"/>
        </w:rPr>
        <w:t>20</w:t>
      </w:r>
      <w:r>
        <w:rPr>
          <w:rFonts w:hint="eastAsia" w:ascii="楷体" w:hAnsi="楷体" w:eastAsia="楷体" w:cs="楷体"/>
          <w:color w:val="000000"/>
          <w:sz w:val="24"/>
        </w:rPr>
        <w:t>只，</w:t>
      </w:r>
      <w:r>
        <w:rPr>
          <w:rFonts w:hint="eastAsia" w:ascii="楷体" w:hAnsi="楷体" w:eastAsia="楷体" w:cs="楷体"/>
          <w:color w:val="000000"/>
          <w:sz w:val="24"/>
        </w:rPr>
        <w:t>7只在</w:t>
      </w:r>
      <w:r>
        <w:rPr>
          <w:rFonts w:hint="eastAsia" w:ascii="楷体" w:hAnsi="楷体" w:eastAsia="楷体" w:cs="楷体"/>
          <w:color w:val="000000"/>
          <w:sz w:val="24"/>
        </w:rPr>
        <w:t>组合大师有净值更新。历史清算产品</w:t>
      </w:r>
      <w:r>
        <w:rPr>
          <w:rFonts w:hint="eastAsia" w:ascii="楷体" w:hAnsi="楷体" w:eastAsia="楷体" w:cs="楷体"/>
          <w:color w:val="000000"/>
          <w:sz w:val="24"/>
        </w:rPr>
        <w:t>3</w:t>
      </w:r>
      <w:r>
        <w:rPr>
          <w:rFonts w:hint="eastAsia" w:ascii="楷体" w:hAnsi="楷体" w:eastAsia="楷体" w:cs="楷体"/>
          <w:color w:val="000000"/>
          <w:sz w:val="24"/>
        </w:rPr>
        <w:t>只，为早期的债券策略产品。</w:t>
      </w:r>
    </w:p>
    <w:p>
      <w:pPr>
        <w:ind w:left="420" w:firstLine="420"/>
        <w:jc w:val="left"/>
        <w:rPr>
          <w:rFonts w:hint="eastAsia" w:ascii="楷体" w:hAnsi="楷体" w:eastAsia="楷体" w:cs="楷体"/>
          <w:color w:val="000000"/>
          <w:sz w:val="24"/>
        </w:rPr>
      </w:pPr>
      <w:r>
        <w:rPr>
          <w:rFonts w:hint="eastAsia" w:ascii="楷体" w:hAnsi="楷体" w:eastAsia="楷体" w:cs="楷体"/>
          <w:color w:val="000000"/>
          <w:sz w:val="24"/>
        </w:rPr>
        <w:t>存续产品线上，泓璟系列，泓宇系列为城投</w:t>
      </w:r>
      <w:r>
        <w:rPr>
          <w:rFonts w:hint="eastAsia" w:ascii="楷体" w:hAnsi="楷体" w:eastAsia="楷体" w:cs="楷体"/>
          <w:color w:val="000000"/>
          <w:sz w:val="24"/>
        </w:rPr>
        <w:t>+协议回购+信用债交易套利的债券复合策略</w:t>
      </w:r>
      <w:r>
        <w:rPr>
          <w:rFonts w:hint="eastAsia" w:ascii="楷体" w:hAnsi="楷体" w:eastAsia="楷体" w:cs="楷体"/>
          <w:color w:val="000000"/>
          <w:sz w:val="24"/>
        </w:rPr>
        <w:t>。股票精选为量化多头策略。组合</w:t>
      </w:r>
      <w:r>
        <w:rPr>
          <w:rFonts w:hint="eastAsia" w:ascii="楷体" w:hAnsi="楷体" w:eastAsia="楷体" w:cs="楷体"/>
          <w:color w:val="000000"/>
          <w:sz w:val="24"/>
        </w:rPr>
        <w:t>1号为城投债+量化选股+现金管理的复合策略。鑫远1号和润璟1期为自营的主管多头策略，规模很小，不到1000万。</w:t>
      </w:r>
    </w:p>
    <w:p>
      <w:pPr>
        <w:numPr>
          <w:ilvl w:val="0"/>
          <w:numId w:val="5"/>
        </w:numPr>
        <w:jc w:val="left"/>
        <w:rPr>
          <w:rFonts w:hint="eastAsia" w:ascii="楷体" w:hAnsi="楷体" w:eastAsia="楷体" w:cs="楷体"/>
          <w:b/>
          <w:sz w:val="24"/>
        </w:rPr>
      </w:pPr>
      <w:r>
        <w:rPr>
          <w:rFonts w:hint="eastAsia" w:ascii="楷体" w:hAnsi="楷体" w:eastAsia="楷体" w:cs="楷体"/>
          <w:b/>
          <w:color w:val="000000"/>
          <w:sz w:val="24"/>
        </w:rPr>
        <w:t>代表产品：</w:t>
      </w:r>
    </w:p>
    <w:p>
      <w:pPr>
        <w:ind w:left="420" w:firstLine="420"/>
        <w:jc w:val="left"/>
        <w:rPr>
          <w:rFonts w:hint="eastAsia" w:ascii="楷体" w:hAnsi="楷体" w:eastAsia="楷体" w:cs="楷体"/>
          <w:sz w:val="24"/>
        </w:rPr>
      </w:pPr>
      <w:r>
        <w:rPr>
          <w:rFonts w:hint="eastAsia" w:ascii="楷体" w:hAnsi="楷体" w:eastAsia="楷体" w:cs="楷体"/>
          <w:sz w:val="24"/>
        </w:rPr>
        <w:t>泓赫股票精选，量化多头策略，运行</w:t>
      </w:r>
      <w:r>
        <w:rPr>
          <w:rFonts w:hint="eastAsia" w:ascii="楷体" w:hAnsi="楷体" w:eastAsia="楷体" w:cs="楷体"/>
          <w:sz w:val="24"/>
        </w:rPr>
        <w:t>1</w:t>
      </w:r>
      <w:r>
        <w:rPr>
          <w:rFonts w:hint="eastAsia" w:ascii="楷体" w:hAnsi="楷体" w:eastAsia="楷体" w:cs="楷体"/>
          <w:sz w:val="24"/>
        </w:rPr>
        <w:t>年半</w:t>
      </w:r>
      <w:r>
        <w:rPr>
          <w:rFonts w:hint="eastAsia" w:ascii="楷体" w:hAnsi="楷体" w:eastAsia="楷体" w:cs="楷体"/>
          <w:color w:val="000000"/>
          <w:sz w:val="24"/>
        </w:rPr>
        <w:t>，规模</w:t>
      </w:r>
      <w:r>
        <w:rPr>
          <w:rFonts w:hint="eastAsia" w:ascii="楷体" w:hAnsi="楷体" w:eastAsia="楷体" w:cs="楷体"/>
          <w:color w:val="000000"/>
          <w:sz w:val="24"/>
        </w:rPr>
        <w:t>3000</w:t>
      </w:r>
      <w:r>
        <w:rPr>
          <w:rFonts w:hint="eastAsia" w:ascii="楷体" w:hAnsi="楷体" w:eastAsia="楷体" w:cs="楷体"/>
          <w:color w:val="000000"/>
          <w:sz w:val="24"/>
        </w:rPr>
        <w:t>万。该产品为唯一的量化多头产品，故选作代表产品。</w:t>
      </w:r>
    </w:p>
    <w:p>
      <w:pPr>
        <w:numPr>
          <w:ilvl w:val="0"/>
          <w:numId w:val="6"/>
        </w:numPr>
        <w:jc w:val="left"/>
        <w:rPr>
          <w:rFonts w:hint="eastAsia" w:ascii="楷体" w:hAnsi="楷体" w:eastAsia="楷体" w:cs="楷体"/>
          <w:sz w:val="24"/>
        </w:rPr>
      </w:pPr>
      <w:r>
        <w:rPr>
          <w:rFonts w:hint="eastAsia" w:ascii="楷体" w:hAnsi="楷体" w:eastAsia="楷体" w:cs="楷体"/>
          <w:color w:val="000000"/>
          <w:sz w:val="24"/>
        </w:rPr>
        <w:t>风险收益表现：累计收益</w:t>
      </w:r>
      <w:r>
        <w:rPr>
          <w:rFonts w:hint="eastAsia" w:ascii="楷体" w:hAnsi="楷体" w:eastAsia="楷体" w:cs="楷体"/>
          <w:color w:val="000000"/>
          <w:sz w:val="24"/>
        </w:rPr>
        <w:t>15.36</w:t>
      </w:r>
      <w:r>
        <w:rPr>
          <w:rFonts w:hint="eastAsia" w:ascii="楷体" w:hAnsi="楷体" w:eastAsia="楷体" w:cs="楷体"/>
          <w:color w:val="000000"/>
          <w:sz w:val="24"/>
        </w:rPr>
        <w:t>%，202</w:t>
      </w:r>
      <w:r>
        <w:rPr>
          <w:rFonts w:hint="eastAsia" w:ascii="楷体" w:hAnsi="楷体" w:eastAsia="楷体" w:cs="楷体"/>
          <w:color w:val="000000"/>
          <w:sz w:val="24"/>
        </w:rPr>
        <w:t>3</w:t>
      </w:r>
      <w:r>
        <w:rPr>
          <w:rFonts w:hint="eastAsia" w:ascii="楷体" w:hAnsi="楷体" w:eastAsia="楷体" w:cs="楷体"/>
          <w:color w:val="000000"/>
          <w:sz w:val="24"/>
        </w:rPr>
        <w:t>年收益</w:t>
      </w:r>
      <w:r>
        <w:rPr>
          <w:rFonts w:hint="eastAsia" w:ascii="楷体" w:hAnsi="楷体" w:eastAsia="楷体" w:cs="楷体"/>
          <w:color w:val="000000"/>
          <w:sz w:val="24"/>
        </w:rPr>
        <w:t>22.58%</w:t>
      </w:r>
      <w:r>
        <w:rPr>
          <w:rFonts w:hint="eastAsia" w:ascii="楷体" w:hAnsi="楷体" w:eastAsia="楷体" w:cs="楷体"/>
          <w:color w:val="000000"/>
          <w:sz w:val="24"/>
        </w:rPr>
        <w:t>，年化收益</w:t>
      </w:r>
      <w:r>
        <w:rPr>
          <w:rFonts w:hint="eastAsia" w:ascii="楷体" w:hAnsi="楷体" w:eastAsia="楷体" w:cs="楷体"/>
          <w:color w:val="000000"/>
          <w:sz w:val="24"/>
        </w:rPr>
        <w:t>6.51</w:t>
      </w:r>
      <w:r>
        <w:rPr>
          <w:rFonts w:hint="eastAsia" w:ascii="楷体" w:hAnsi="楷体" w:eastAsia="楷体" w:cs="楷体"/>
          <w:color w:val="000000"/>
          <w:sz w:val="24"/>
        </w:rPr>
        <w:t>%，最大回撤</w:t>
      </w:r>
      <w:r>
        <w:rPr>
          <w:rFonts w:hint="eastAsia" w:ascii="楷体" w:hAnsi="楷体" w:eastAsia="楷体" w:cs="楷体"/>
          <w:color w:val="000000"/>
          <w:sz w:val="24"/>
        </w:rPr>
        <w:t>13.15</w:t>
      </w:r>
      <w:r>
        <w:rPr>
          <w:rFonts w:hint="eastAsia" w:ascii="楷体" w:hAnsi="楷体" w:eastAsia="楷体" w:cs="楷体"/>
          <w:color w:val="000000"/>
          <w:sz w:val="24"/>
        </w:rPr>
        <w:t>%，发生在</w:t>
      </w:r>
      <w:r>
        <w:rPr>
          <w:rFonts w:hint="eastAsia" w:ascii="楷体" w:hAnsi="楷体" w:eastAsia="楷体" w:cs="楷体"/>
          <w:color w:val="000000"/>
          <w:sz w:val="24"/>
        </w:rPr>
        <w:t>2024年1月23日，还未修复。</w:t>
      </w:r>
      <w:r>
        <w:rPr>
          <w:rFonts w:hint="eastAsia" w:ascii="楷体" w:hAnsi="楷体" w:eastAsia="楷体" w:cs="楷体"/>
          <w:color w:val="000000"/>
          <w:sz w:val="24"/>
        </w:rPr>
        <w:t>超额最大回撤</w:t>
      </w:r>
      <w:r>
        <w:rPr>
          <w:rFonts w:hint="eastAsia" w:ascii="楷体" w:hAnsi="楷体" w:eastAsia="楷体" w:cs="楷体"/>
          <w:color w:val="000000"/>
          <w:sz w:val="24"/>
        </w:rPr>
        <w:t>7.91%</w:t>
      </w:r>
      <w:r>
        <w:rPr>
          <w:rFonts w:hint="eastAsia" w:ascii="楷体" w:hAnsi="楷体" w:eastAsia="楷体" w:cs="楷体"/>
          <w:color w:val="000000"/>
          <w:sz w:val="24"/>
        </w:rPr>
        <w:t>，发生在202</w:t>
      </w:r>
      <w:r>
        <w:rPr>
          <w:rFonts w:hint="eastAsia" w:ascii="楷体" w:hAnsi="楷体" w:eastAsia="楷体" w:cs="楷体"/>
          <w:color w:val="000000"/>
          <w:sz w:val="24"/>
        </w:rPr>
        <w:t>3</w:t>
      </w:r>
      <w:r>
        <w:rPr>
          <w:rFonts w:hint="eastAsia" w:ascii="楷体" w:hAnsi="楷体" w:eastAsia="楷体" w:cs="楷体"/>
          <w:color w:val="000000"/>
          <w:sz w:val="24"/>
        </w:rPr>
        <w:t>年</w:t>
      </w:r>
      <w:r>
        <w:rPr>
          <w:rFonts w:hint="eastAsia" w:ascii="楷体" w:hAnsi="楷体" w:eastAsia="楷体" w:cs="楷体"/>
          <w:color w:val="000000"/>
          <w:sz w:val="24"/>
        </w:rPr>
        <w:t>4月</w:t>
      </w:r>
      <w:r>
        <w:rPr>
          <w:rFonts w:hint="eastAsia" w:ascii="楷体" w:hAnsi="楷体" w:eastAsia="楷体" w:cs="楷体"/>
          <w:color w:val="000000"/>
          <w:sz w:val="24"/>
        </w:rPr>
        <w:t>，1个月内修复。近1年收益排名同策略前1</w:t>
      </w:r>
      <w:r>
        <w:rPr>
          <w:rFonts w:hint="eastAsia" w:ascii="楷体" w:hAnsi="楷体" w:eastAsia="楷体" w:cs="楷体"/>
          <w:color w:val="000000"/>
          <w:sz w:val="24"/>
        </w:rPr>
        <w:t>1</w:t>
      </w:r>
      <w:r>
        <w:rPr>
          <w:rFonts w:hint="eastAsia" w:ascii="楷体" w:hAnsi="楷体" w:eastAsia="楷体" w:cs="楷体"/>
          <w:color w:val="000000"/>
          <w:sz w:val="24"/>
        </w:rPr>
        <w:t>%，最大回撤排名前</w:t>
      </w:r>
      <w:r>
        <w:rPr>
          <w:rFonts w:hint="eastAsia" w:ascii="楷体" w:hAnsi="楷体" w:eastAsia="楷体" w:cs="楷体"/>
          <w:color w:val="000000"/>
          <w:sz w:val="24"/>
        </w:rPr>
        <w:t>44</w:t>
      </w:r>
      <w:r>
        <w:rPr>
          <w:rFonts w:hint="eastAsia" w:ascii="楷体" w:hAnsi="楷体" w:eastAsia="楷体" w:cs="楷体"/>
          <w:color w:val="000000"/>
          <w:sz w:val="24"/>
        </w:rPr>
        <w:t>%，夏普排名前</w:t>
      </w:r>
      <w:r>
        <w:rPr>
          <w:rFonts w:hint="eastAsia" w:ascii="楷体" w:hAnsi="楷体" w:eastAsia="楷体" w:cs="楷体"/>
          <w:color w:val="000000"/>
          <w:sz w:val="24"/>
        </w:rPr>
        <w:t>1</w:t>
      </w:r>
      <w:r>
        <w:rPr>
          <w:rFonts w:hint="eastAsia" w:ascii="楷体" w:hAnsi="楷体" w:eastAsia="楷体" w:cs="楷体"/>
          <w:color w:val="000000"/>
          <w:sz w:val="24"/>
        </w:rPr>
        <w:t>4%。</w:t>
      </w:r>
    </w:p>
    <w:p>
      <w:pPr>
        <w:numPr>
          <w:ilvl w:val="0"/>
          <w:numId w:val="6"/>
        </w:numPr>
        <w:jc w:val="left"/>
        <w:rPr>
          <w:rFonts w:hint="eastAsia" w:ascii="楷体" w:hAnsi="楷体" w:eastAsia="楷体" w:cs="楷体"/>
          <w:sz w:val="24"/>
        </w:rPr>
      </w:pPr>
      <w:r>
        <w:rPr>
          <w:rFonts w:hint="eastAsia" w:ascii="楷体" w:hAnsi="楷体" w:eastAsia="楷体" w:cs="楷体"/>
          <w:color w:val="000000"/>
          <w:sz w:val="24"/>
        </w:rPr>
        <w:t>复盘及归因：得益于管理人在另类量价因子上的挖掘，产品绝对收益较为优秀。但由于风控措施较为简单，不控个股止损以及</w:t>
      </w:r>
      <w:r>
        <w:rPr>
          <w:rFonts w:hint="eastAsia" w:ascii="楷体" w:hAnsi="楷体" w:eastAsia="楷体" w:cs="楷体"/>
          <w:color w:val="000000"/>
          <w:sz w:val="24"/>
        </w:rPr>
        <w:t>barra因子暴露</w:t>
      </w:r>
      <w:r>
        <w:rPr>
          <w:rFonts w:hint="eastAsia" w:ascii="楷体" w:hAnsi="楷体" w:eastAsia="楷体" w:cs="楷体"/>
          <w:color w:val="000000"/>
          <w:sz w:val="24"/>
        </w:rPr>
        <w:t>，因此回撤控制一般，每隔几个月就会有一波明显回撤。近期</w:t>
      </w:r>
      <w:r>
        <w:rPr>
          <w:rFonts w:hint="eastAsia" w:ascii="楷体" w:hAnsi="楷体" w:eastAsia="楷体" w:cs="楷体"/>
          <w:color w:val="000000"/>
          <w:sz w:val="24"/>
        </w:rPr>
        <w:t>2024年1月23号的回撤主要是由于市场风格变化带来的，产品持仓市值中位数与中证1000较为接近，小票下跌带动了产品净值下跌。</w:t>
      </w:r>
    </w:p>
    <w:p>
      <w:pPr>
        <w:numPr>
          <w:ilvl w:val="0"/>
          <w:numId w:val="4"/>
        </w:numPr>
        <w:jc w:val="left"/>
        <w:rPr>
          <w:rFonts w:hint="eastAsia" w:ascii="楷体" w:hAnsi="楷体" w:eastAsia="楷体" w:cs="楷体"/>
          <w:b/>
          <w:sz w:val="24"/>
        </w:rPr>
      </w:pPr>
      <w:r>
        <w:rPr>
          <w:rFonts w:hint="eastAsia" w:ascii="楷体" w:hAnsi="楷体" w:eastAsia="楷体" w:cs="楷体"/>
          <w:b/>
          <w:sz w:val="24"/>
        </w:rPr>
        <w:t>其他产品：</w:t>
      </w:r>
    </w:p>
    <w:p>
      <w:pPr>
        <w:ind w:left="420" w:firstLine="420"/>
        <w:jc w:val="left"/>
        <w:rPr>
          <w:rFonts w:hint="eastAsia" w:ascii="楷体" w:hAnsi="楷体" w:eastAsia="楷体" w:cs="楷体"/>
          <w:sz w:val="24"/>
        </w:rPr>
      </w:pPr>
      <w:r>
        <w:rPr>
          <w:rFonts w:hint="eastAsia" w:ascii="楷体" w:hAnsi="楷体" w:eastAsia="楷体" w:cs="楷体"/>
          <w:sz w:val="24"/>
        </w:rPr>
        <w:t>无。</w:t>
      </w:r>
    </w:p>
    <w:p>
      <w:pPr>
        <w:jc w:val="left"/>
        <w:rPr>
          <w:rFonts w:hint="eastAsia" w:ascii="楷体" w:hAnsi="楷体" w:eastAsia="楷体" w:cs="楷体"/>
          <w:sz w:val="24"/>
        </w:rPr>
      </w:pPr>
    </w:p>
    <w:p>
      <w:pPr>
        <w:jc w:val="left"/>
        <w:rPr>
          <w:rFonts w:hint="eastAsia" w:ascii="楷体" w:hAnsi="楷体" w:eastAsia="楷体" w:cs="楷体"/>
          <w:b/>
          <w:sz w:val="24"/>
        </w:rPr>
      </w:pPr>
      <w:r>
        <w:rPr>
          <w:rFonts w:hint="eastAsia" w:ascii="楷体" w:hAnsi="楷体" w:eastAsia="楷体" w:cs="楷体"/>
          <w:b/>
          <w:sz w:val="24"/>
        </w:rPr>
        <w:t>结论</w:t>
      </w:r>
    </w:p>
    <w:p>
      <w:pPr>
        <w:jc w:val="left"/>
        <w:rPr>
          <w:rFonts w:hint="eastAsia" w:ascii="楷体" w:hAnsi="楷体" w:eastAsia="楷体" w:cs="楷体"/>
          <w:b w:val="0"/>
        </w:rPr>
      </w:pPr>
      <w:r>
        <w:rPr>
          <w:rFonts w:hint="eastAsia" w:ascii="楷体" w:hAnsi="楷体" w:eastAsia="楷体" w:cs="楷体"/>
          <w:b/>
          <w:sz w:val="24"/>
        </w:rPr>
        <w:tab/>
      </w:r>
      <w:r>
        <w:rPr>
          <w:rFonts w:hint="eastAsia" w:ascii="楷体" w:hAnsi="楷体" w:eastAsia="楷体" w:cs="楷体"/>
          <w:sz w:val="24"/>
        </w:rPr>
        <w:t>公司成立</w:t>
      </w:r>
      <w:r>
        <w:rPr>
          <w:rFonts w:hint="eastAsia" w:ascii="楷体" w:hAnsi="楷体" w:eastAsia="楷体" w:cs="楷体"/>
          <w:sz w:val="24"/>
        </w:rPr>
        <w:t>8年，管理规模3亿。目前对外的是债券和空气指增策略，本次尽调主要覆盖空气指增。团队背景上，管理规模与人员储备相对匹配，基金经理杨雨龙履历优秀，有十余年的量化策略开发经验，在历任公司历史业绩也较为优异。凭借特有的另类量价类因子和基本面相结合，产品绝对收益排在市场前列，2023年全年收益22.58%，可持续关注。但由于风控措施较为简单，历史上出现过几次较大的回撤，还有改善的空间。</w:t>
      </w:r>
    </w:p>
    <w:p>
      <w:pPr>
        <w:ind w:firstLine="420"/>
        <w:jc w:val="left"/>
        <w:rPr>
          <w:rFonts w:hint="eastAsia" w:ascii="楷体" w:hAnsi="楷体" w:eastAsia="楷体" w:cs="楷体"/>
          <w:color w:val="000000"/>
          <w:sz w:val="24"/>
          <w:szCs w:val="32"/>
        </w:rPr>
      </w:pPr>
      <w:r>
        <w:rPr>
          <w:rFonts w:hint="eastAsia" w:ascii="楷体" w:hAnsi="楷体" w:eastAsia="楷体" w:cs="楷体"/>
          <w:color w:val="000000"/>
          <w:sz w:val="24"/>
          <w:szCs w:val="32"/>
        </w:rPr>
        <w:t>综上，建议给予B评级。</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TKaiti">
    <w:altName w:val="Segoe Print"/>
    <w:panose1 w:val="00000000000000000000"/>
    <w:charset w:val="00"/>
    <w:family w:val="auto"/>
    <w:pitch w:val="default"/>
    <w:sig w:usb0="00000000" w:usb1="00000000" w:usb2="00000000" w:usb3="00000000" w:csb0="00000000" w:csb1="00000000"/>
  </w:font>
  <w:font w:name="Kaiti SC Regular">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Kaiti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singleLevel"/>
    <w:tmpl w:val="B5E306ED"/>
    <w:lvl w:ilvl="0" w:tentative="0">
      <w:start w:val="1"/>
      <w:numFmt w:val="bullet"/>
      <w:lvlText w:val=""/>
      <w:lvlJc w:val="left"/>
      <w:pPr>
        <w:ind w:left="420" w:hanging="420"/>
      </w:pPr>
      <w:rPr>
        <w:rFonts w:hint="default" w:ascii="Wingdings" w:hAnsi="Wingdings"/>
      </w:rPr>
    </w:lvl>
  </w:abstractNum>
  <w:abstractNum w:abstractNumId="1">
    <w:nsid w:val="BF205925"/>
    <w:multiLevelType w:val="multilevel"/>
    <w:tmpl w:val="BF205925"/>
    <w:lvl w:ilvl="0" w:tentative="0">
      <w:start w:val="1"/>
      <w:numFmt w:val="bullet"/>
      <w:lvlText w:val=""/>
      <w:lvlJc w:val="left"/>
      <w:pPr>
        <w:ind w:left="420" w:hanging="420"/>
      </w:pPr>
      <w:rPr>
        <w:rFonts w:hint="default" w:ascii="Wingdings" w:hAnsi="Wingdings"/>
      </w:rPr>
    </w:lvl>
    <w:lvl w:ilvl="1" w:tentative="0">
      <w:start w:val="1"/>
      <w:numFmt w:val="bullet"/>
      <w:lvlText w:val="n"/>
      <w:lvlJc w:val="left"/>
      <w:pPr>
        <w:ind w:left="840" w:hanging="420"/>
      </w:pPr>
      <w:rPr>
        <w:rFonts w:ascii="Wingdings" w:hAnsi="Wingdings" w:eastAsia="Wingdings" w:cs="Wingdings"/>
        <w:b w:val="0"/>
        <w:i w:val="0"/>
      </w:rPr>
    </w:lvl>
    <w:lvl w:ilvl="2" w:tentative="0">
      <w:start w:val="1"/>
      <w:numFmt w:val="bullet"/>
      <w:lvlText w:val="u"/>
      <w:lvlJc w:val="left"/>
      <w:pPr>
        <w:ind w:left="1260" w:hanging="420"/>
      </w:pPr>
      <w:rPr>
        <w:rFonts w:ascii="Wingdings" w:hAnsi="Wingdings" w:eastAsia="Wingdings" w:cs="Wingdings"/>
        <w:b w:val="0"/>
        <w:i w:val="0"/>
      </w:rPr>
    </w:lvl>
    <w:lvl w:ilvl="3" w:tentative="0">
      <w:start w:val="1"/>
      <w:numFmt w:val="bullet"/>
      <w:lvlText w:val="l"/>
      <w:lvlJc w:val="left"/>
      <w:pPr>
        <w:ind w:left="1680" w:hanging="420"/>
      </w:pPr>
      <w:rPr>
        <w:rFonts w:ascii="Wingdings" w:hAnsi="Wingdings" w:eastAsia="Wingdings" w:cs="Wingdings"/>
        <w:b w:val="0"/>
        <w:i w:val="0"/>
      </w:rPr>
    </w:lvl>
    <w:lvl w:ilvl="4" w:tentative="0">
      <w:start w:val="1"/>
      <w:numFmt w:val="bullet"/>
      <w:lvlText w:val="n"/>
      <w:lvlJc w:val="left"/>
      <w:pPr>
        <w:ind w:left="2100" w:hanging="420"/>
      </w:pPr>
      <w:rPr>
        <w:rFonts w:ascii="Wingdings" w:hAnsi="Wingdings" w:eastAsia="Wingdings" w:cs="Wingdings"/>
        <w:b w:val="0"/>
        <w:i w:val="0"/>
      </w:rPr>
    </w:lvl>
    <w:lvl w:ilvl="5" w:tentative="0">
      <w:start w:val="1"/>
      <w:numFmt w:val="bullet"/>
      <w:lvlText w:val="u"/>
      <w:lvlJc w:val="left"/>
      <w:pPr>
        <w:ind w:left="2520" w:hanging="420"/>
      </w:pPr>
      <w:rPr>
        <w:rFonts w:ascii="Wingdings" w:hAnsi="Wingdings" w:eastAsia="Wingdings" w:cs="Wingdings"/>
        <w:b w:val="0"/>
        <w:i w:val="0"/>
      </w:rPr>
    </w:lvl>
    <w:lvl w:ilvl="6" w:tentative="0">
      <w:start w:val="1"/>
      <w:numFmt w:val="bullet"/>
      <w:lvlText w:val="l"/>
      <w:lvlJc w:val="left"/>
      <w:pPr>
        <w:ind w:left="2940" w:hanging="420"/>
      </w:pPr>
      <w:rPr>
        <w:rFonts w:ascii="Wingdings" w:hAnsi="Wingdings" w:eastAsia="Wingdings" w:cs="Wingdings"/>
        <w:b w:val="0"/>
        <w:i w:val="0"/>
      </w:rPr>
    </w:lvl>
    <w:lvl w:ilvl="7" w:tentative="0">
      <w:start w:val="1"/>
      <w:numFmt w:val="bullet"/>
      <w:lvlText w:val="n"/>
      <w:lvlJc w:val="left"/>
      <w:pPr>
        <w:ind w:left="3360" w:hanging="420"/>
      </w:pPr>
      <w:rPr>
        <w:rFonts w:ascii="Wingdings" w:hAnsi="Wingdings" w:eastAsia="Wingdings" w:cs="Wingdings"/>
        <w:b w:val="0"/>
        <w:i w:val="0"/>
      </w:rPr>
    </w:lvl>
    <w:lvl w:ilvl="8" w:tentative="0">
      <w:start w:val="1"/>
      <w:numFmt w:val="bullet"/>
      <w:lvlText w:val="u"/>
      <w:lvlJc w:val="left"/>
      <w:pPr>
        <w:ind w:left="3780" w:hanging="420"/>
      </w:pPr>
      <w:rPr>
        <w:rFonts w:ascii="Wingdings" w:hAnsi="Wingdings" w:eastAsia="Wingdings" w:cs="Wingdings"/>
        <w:b w:val="0"/>
        <w:i w:val="0"/>
      </w:rPr>
    </w:lvl>
  </w:abstractNum>
  <w:abstractNum w:abstractNumId="2">
    <w:nsid w:val="CF092B84"/>
    <w:multiLevelType w:val="multilevel"/>
    <w:tmpl w:val="CF092B84"/>
    <w:lvl w:ilvl="0" w:tentative="0">
      <w:start w:val="1"/>
      <w:numFmt w:val="bullet"/>
      <w:lvlText w:val=""/>
      <w:lvlJc w:val="left"/>
      <w:pPr>
        <w:ind w:left="420" w:hanging="420"/>
      </w:pPr>
      <w:rPr>
        <w:rFonts w:hint="default" w:ascii="Wingdings" w:hAnsi="Wingdings"/>
      </w:rPr>
    </w:lvl>
    <w:lvl w:ilvl="1" w:tentative="0">
      <w:start w:val="1"/>
      <w:numFmt w:val="bullet"/>
      <w:lvlText w:val="n"/>
      <w:lvlJc w:val="left"/>
      <w:pPr>
        <w:ind w:left="840" w:hanging="420"/>
      </w:pPr>
      <w:rPr>
        <w:rFonts w:ascii="Wingdings" w:hAnsi="Wingdings" w:eastAsia="Wingdings" w:cs="Wingdings"/>
        <w:b w:val="0"/>
        <w:i w:val="0"/>
      </w:rPr>
    </w:lvl>
    <w:lvl w:ilvl="2" w:tentative="0">
      <w:start w:val="1"/>
      <w:numFmt w:val="bullet"/>
      <w:lvlText w:val="u"/>
      <w:lvlJc w:val="left"/>
      <w:pPr>
        <w:ind w:left="1260" w:hanging="420"/>
      </w:pPr>
      <w:rPr>
        <w:rFonts w:ascii="Wingdings" w:hAnsi="Wingdings" w:eastAsia="Wingdings" w:cs="Wingdings"/>
        <w:b w:val="0"/>
        <w:i w:val="0"/>
      </w:rPr>
    </w:lvl>
    <w:lvl w:ilvl="3" w:tentative="0">
      <w:start w:val="1"/>
      <w:numFmt w:val="bullet"/>
      <w:lvlText w:val="l"/>
      <w:lvlJc w:val="left"/>
      <w:pPr>
        <w:ind w:left="1680" w:hanging="420"/>
      </w:pPr>
      <w:rPr>
        <w:rFonts w:ascii="Wingdings" w:hAnsi="Wingdings" w:eastAsia="Wingdings" w:cs="Wingdings"/>
        <w:b w:val="0"/>
        <w:i w:val="0"/>
      </w:rPr>
    </w:lvl>
    <w:lvl w:ilvl="4" w:tentative="0">
      <w:start w:val="1"/>
      <w:numFmt w:val="bullet"/>
      <w:lvlText w:val="n"/>
      <w:lvlJc w:val="left"/>
      <w:pPr>
        <w:ind w:left="2100" w:hanging="420"/>
      </w:pPr>
      <w:rPr>
        <w:rFonts w:ascii="Wingdings" w:hAnsi="Wingdings" w:eastAsia="Wingdings" w:cs="Wingdings"/>
        <w:b w:val="0"/>
        <w:i w:val="0"/>
      </w:rPr>
    </w:lvl>
    <w:lvl w:ilvl="5" w:tentative="0">
      <w:start w:val="1"/>
      <w:numFmt w:val="bullet"/>
      <w:lvlText w:val="u"/>
      <w:lvlJc w:val="left"/>
      <w:pPr>
        <w:ind w:left="2520" w:hanging="420"/>
      </w:pPr>
      <w:rPr>
        <w:rFonts w:ascii="Wingdings" w:hAnsi="Wingdings" w:eastAsia="Wingdings" w:cs="Wingdings"/>
        <w:b w:val="0"/>
        <w:i w:val="0"/>
      </w:rPr>
    </w:lvl>
    <w:lvl w:ilvl="6" w:tentative="0">
      <w:start w:val="1"/>
      <w:numFmt w:val="bullet"/>
      <w:lvlText w:val="l"/>
      <w:lvlJc w:val="left"/>
      <w:pPr>
        <w:ind w:left="2940" w:hanging="420"/>
      </w:pPr>
      <w:rPr>
        <w:rFonts w:ascii="Wingdings" w:hAnsi="Wingdings" w:eastAsia="Wingdings" w:cs="Wingdings"/>
        <w:b w:val="0"/>
        <w:i w:val="0"/>
      </w:rPr>
    </w:lvl>
    <w:lvl w:ilvl="7" w:tentative="0">
      <w:start w:val="1"/>
      <w:numFmt w:val="bullet"/>
      <w:lvlText w:val="n"/>
      <w:lvlJc w:val="left"/>
      <w:pPr>
        <w:ind w:left="3360" w:hanging="420"/>
      </w:pPr>
      <w:rPr>
        <w:rFonts w:ascii="Wingdings" w:hAnsi="Wingdings" w:eastAsia="Wingdings" w:cs="Wingdings"/>
        <w:b w:val="0"/>
        <w:i w:val="0"/>
      </w:rPr>
    </w:lvl>
    <w:lvl w:ilvl="8" w:tentative="0">
      <w:start w:val="1"/>
      <w:numFmt w:val="bullet"/>
      <w:lvlText w:val="u"/>
      <w:lvlJc w:val="left"/>
      <w:pPr>
        <w:ind w:left="3780" w:hanging="420"/>
      </w:pPr>
      <w:rPr>
        <w:rFonts w:ascii="Wingdings" w:hAnsi="Wingdings" w:eastAsia="Wingdings" w:cs="Wingdings"/>
        <w:b w:val="0"/>
        <w:i w:val="0"/>
      </w:rPr>
    </w:lvl>
  </w:abstractNum>
  <w:abstractNum w:abstractNumId="3">
    <w:nsid w:val="0053208E"/>
    <w:multiLevelType w:val="multilevel"/>
    <w:tmpl w:val="0053208E"/>
    <w:lvl w:ilvl="0" w:tentative="0">
      <w:start w:val="1"/>
      <w:numFmt w:val="decimal"/>
      <w:pStyle w:val="2"/>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03D62ECE"/>
    <w:multiLevelType w:val="multilevel"/>
    <w:tmpl w:val="03D62ECE"/>
    <w:lvl w:ilvl="0" w:tentative="0">
      <w:start w:val="0"/>
      <w:numFmt w:val="bullet"/>
      <w:lvlText w:val="-"/>
      <w:lvlJc w:val="left"/>
      <w:pPr>
        <w:ind w:left="846" w:hanging="360"/>
      </w:pPr>
      <w:rPr>
        <w:rFonts w:hint="default" w:ascii="Calibri" w:hAnsi="Calibri" w:eastAsia="宋体" w:cs="Calibri"/>
      </w:rPr>
    </w:lvl>
    <w:lvl w:ilvl="1" w:tentative="0">
      <w:start w:val="1"/>
      <w:numFmt w:val="bullet"/>
      <w:lvlText w:val=""/>
      <w:lvlJc w:val="left"/>
      <w:pPr>
        <w:ind w:left="1326" w:hanging="420"/>
      </w:pPr>
      <w:rPr>
        <w:rFonts w:hint="default" w:ascii="Wingdings" w:hAnsi="Wingdings"/>
      </w:rPr>
    </w:lvl>
    <w:lvl w:ilvl="2" w:tentative="0">
      <w:start w:val="1"/>
      <w:numFmt w:val="bullet"/>
      <w:lvlText w:val=""/>
      <w:lvlJc w:val="left"/>
      <w:pPr>
        <w:ind w:left="1746" w:hanging="420"/>
      </w:pPr>
      <w:rPr>
        <w:rFonts w:hint="default" w:ascii="Wingdings" w:hAnsi="Wingdings"/>
      </w:rPr>
    </w:lvl>
    <w:lvl w:ilvl="3" w:tentative="0">
      <w:start w:val="1"/>
      <w:numFmt w:val="bullet"/>
      <w:lvlText w:val=""/>
      <w:lvlJc w:val="left"/>
      <w:pPr>
        <w:ind w:left="2166" w:hanging="420"/>
      </w:pPr>
      <w:rPr>
        <w:rFonts w:hint="default" w:ascii="Wingdings" w:hAnsi="Wingdings"/>
      </w:rPr>
    </w:lvl>
    <w:lvl w:ilvl="4" w:tentative="0">
      <w:start w:val="1"/>
      <w:numFmt w:val="bullet"/>
      <w:lvlText w:val=""/>
      <w:lvlJc w:val="left"/>
      <w:pPr>
        <w:ind w:left="2586" w:hanging="420"/>
      </w:pPr>
      <w:rPr>
        <w:rFonts w:hint="default" w:ascii="Wingdings" w:hAnsi="Wingdings"/>
      </w:rPr>
    </w:lvl>
    <w:lvl w:ilvl="5" w:tentative="0">
      <w:start w:val="1"/>
      <w:numFmt w:val="bullet"/>
      <w:lvlText w:val=""/>
      <w:lvlJc w:val="left"/>
      <w:pPr>
        <w:ind w:left="3006" w:hanging="420"/>
      </w:pPr>
      <w:rPr>
        <w:rFonts w:hint="default" w:ascii="Wingdings" w:hAnsi="Wingdings"/>
      </w:rPr>
    </w:lvl>
    <w:lvl w:ilvl="6" w:tentative="0">
      <w:start w:val="1"/>
      <w:numFmt w:val="bullet"/>
      <w:lvlText w:val=""/>
      <w:lvlJc w:val="left"/>
      <w:pPr>
        <w:ind w:left="3426" w:hanging="420"/>
      </w:pPr>
      <w:rPr>
        <w:rFonts w:hint="default" w:ascii="Wingdings" w:hAnsi="Wingdings"/>
      </w:rPr>
    </w:lvl>
    <w:lvl w:ilvl="7" w:tentative="0">
      <w:start w:val="1"/>
      <w:numFmt w:val="bullet"/>
      <w:lvlText w:val=""/>
      <w:lvlJc w:val="left"/>
      <w:pPr>
        <w:ind w:left="3846" w:hanging="420"/>
      </w:pPr>
      <w:rPr>
        <w:rFonts w:hint="default" w:ascii="Wingdings" w:hAnsi="Wingdings"/>
      </w:rPr>
    </w:lvl>
    <w:lvl w:ilvl="8" w:tentative="0">
      <w:start w:val="1"/>
      <w:numFmt w:val="bullet"/>
      <w:lvlText w:val=""/>
      <w:lvlJc w:val="left"/>
      <w:pPr>
        <w:ind w:left="4266" w:hanging="420"/>
      </w:pPr>
      <w:rPr>
        <w:rFonts w:hint="default" w:ascii="Wingdings" w:hAnsi="Wingdings"/>
      </w:rPr>
    </w:lvl>
  </w:abstractNum>
  <w:abstractNum w:abstractNumId="5">
    <w:nsid w:val="59ADCABA"/>
    <w:multiLevelType w:val="multilevel"/>
    <w:tmpl w:val="59ADCABA"/>
    <w:lvl w:ilvl="0" w:tentative="0">
      <w:start w:val="1"/>
      <w:numFmt w:val="bullet"/>
      <w:lvlText w:val="-"/>
      <w:lvlJc w:val="left"/>
      <w:pPr>
        <w:ind w:left="846" w:hanging="360"/>
      </w:pPr>
      <w:rPr>
        <w:rFonts w:hint="default" w:ascii="Calibri" w:hAnsi="Calibri" w:eastAsia="宋体" w:cs="Calibri"/>
      </w:rPr>
    </w:lvl>
    <w:lvl w:ilvl="1" w:tentative="0">
      <w:start w:val="1"/>
      <w:numFmt w:val="bullet"/>
      <w:lvlText w:val=""/>
      <w:lvlJc w:val="left"/>
      <w:pPr>
        <w:ind w:left="1326" w:hanging="420"/>
      </w:pPr>
      <w:rPr>
        <w:rFonts w:hint="default" w:ascii="Wingdings" w:hAnsi="Wingdings"/>
      </w:rPr>
    </w:lvl>
    <w:lvl w:ilvl="2" w:tentative="0">
      <w:start w:val="1"/>
      <w:numFmt w:val="bullet"/>
      <w:lvlText w:val=""/>
      <w:lvlJc w:val="left"/>
      <w:pPr>
        <w:ind w:left="1746" w:hanging="420"/>
      </w:pPr>
      <w:rPr>
        <w:rFonts w:hint="default" w:ascii="Wingdings" w:hAnsi="Wingdings"/>
      </w:rPr>
    </w:lvl>
    <w:lvl w:ilvl="3" w:tentative="0">
      <w:start w:val="1"/>
      <w:numFmt w:val="bullet"/>
      <w:lvlText w:val=""/>
      <w:lvlJc w:val="left"/>
      <w:pPr>
        <w:ind w:left="2166" w:hanging="420"/>
      </w:pPr>
      <w:rPr>
        <w:rFonts w:hint="default" w:ascii="Wingdings" w:hAnsi="Wingdings"/>
      </w:rPr>
    </w:lvl>
    <w:lvl w:ilvl="4" w:tentative="0">
      <w:start w:val="1"/>
      <w:numFmt w:val="bullet"/>
      <w:lvlText w:val=""/>
      <w:lvlJc w:val="left"/>
      <w:pPr>
        <w:ind w:left="2586" w:hanging="420"/>
      </w:pPr>
      <w:rPr>
        <w:rFonts w:hint="default" w:ascii="Wingdings" w:hAnsi="Wingdings"/>
      </w:rPr>
    </w:lvl>
    <w:lvl w:ilvl="5" w:tentative="0">
      <w:start w:val="1"/>
      <w:numFmt w:val="bullet"/>
      <w:lvlText w:val=""/>
      <w:lvlJc w:val="left"/>
      <w:pPr>
        <w:ind w:left="3006" w:hanging="420"/>
      </w:pPr>
      <w:rPr>
        <w:rFonts w:hint="default" w:ascii="Wingdings" w:hAnsi="Wingdings"/>
      </w:rPr>
    </w:lvl>
    <w:lvl w:ilvl="6" w:tentative="0">
      <w:start w:val="1"/>
      <w:numFmt w:val="bullet"/>
      <w:lvlText w:val=""/>
      <w:lvlJc w:val="left"/>
      <w:pPr>
        <w:ind w:left="3426" w:hanging="420"/>
      </w:pPr>
      <w:rPr>
        <w:rFonts w:hint="default" w:ascii="Wingdings" w:hAnsi="Wingdings"/>
      </w:rPr>
    </w:lvl>
    <w:lvl w:ilvl="7" w:tentative="0">
      <w:start w:val="1"/>
      <w:numFmt w:val="bullet"/>
      <w:lvlText w:val=""/>
      <w:lvlJc w:val="left"/>
      <w:pPr>
        <w:ind w:left="3846" w:hanging="420"/>
      </w:pPr>
      <w:rPr>
        <w:rFonts w:hint="default" w:ascii="Wingdings" w:hAnsi="Wingdings"/>
      </w:rPr>
    </w:lvl>
    <w:lvl w:ilvl="8" w:tentative="0">
      <w:start w:val="1"/>
      <w:numFmt w:val="bullet"/>
      <w:lvlText w:val=""/>
      <w:lvlJc w:val="left"/>
      <w:pPr>
        <w:ind w:left="4266" w:hanging="420"/>
      </w:pPr>
      <w:rPr>
        <w:rFonts w:hint="default" w:ascii="Wingdings" w:hAnsi="Wingdings"/>
      </w:r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IwYTZjNTdkYzY5NzU3NTJkNGNjM2M5OTgwMjAxNzAifQ=="/>
  </w:docVars>
  <w:rsids>
    <w:rsidRoot w:val="00000000"/>
    <w:rsid w:val="35C34A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next w:val="1"/>
    <w:link w:val="7"/>
    <w:unhideWhenUsed/>
    <w:qFormat/>
    <w:uiPriority w:val="9"/>
    <w:pPr>
      <w:numPr>
        <w:ilvl w:val="0"/>
        <w:numId w:val="1"/>
      </w:numPr>
      <w:spacing w:before="260" w:after="260" w:line="408" w:lineRule="auto"/>
      <w:ind w:firstLineChars="0"/>
      <w:outlineLvl w:val="1"/>
    </w:pPr>
    <w:rPr>
      <w:rFonts w:ascii="STKaiti" w:hAnsi="STKaiti" w:eastAsia="STKaiti" w:cs="Kaiti SC Regular"/>
      <w:b/>
      <w:color w:val="auto"/>
      <w:spacing w:val="0"/>
      <w:w w:val="100"/>
      <w:kern w:val="2"/>
      <w:sz w:val="32"/>
      <w:szCs w:val="24"/>
      <w:u w:val="none"/>
      <w:vertAlign w:val="baseline"/>
      <w:lang w:val="en-US" w:eastAsia="zh-CN" w:bidi="en-US"/>
    </w:rPr>
  </w:style>
  <w:style w:type="character" w:default="1" w:styleId="4">
    <w:name w:val="Default Paragraph Font"/>
    <w:uiPriority w:val="1"/>
  </w:style>
  <w:style w:type="table" w:default="1" w:styleId="3">
    <w:name w:val="Normal Table"/>
    <w:uiPriority w:val="99"/>
    <w:tblPr>
      <w:tblCellMar>
        <w:top w:w="0" w:type="dxa"/>
        <w:left w:w="108" w:type="dxa"/>
        <w:bottom w:w="0" w:type="dxa"/>
        <w:right w:w="108" w:type="dxa"/>
      </w:tblCellMar>
    </w:tblPr>
  </w:style>
  <w:style w:type="character" w:styleId="5">
    <w:name w:val="Hyperlink"/>
    <w:basedOn w:val="4"/>
    <w:uiPriority w:val="0"/>
    <w:rPr>
      <w:color w:val="0000FF"/>
      <w:u w:val="single"/>
    </w:rPr>
  </w:style>
  <w:style w:type="paragraph" w:styleId="6">
    <w:name w:val="List Paragraph"/>
    <w:basedOn w:val="1"/>
    <w:qFormat/>
    <w:uiPriority w:val="34"/>
  </w:style>
  <w:style w:type="character" w:customStyle="1" w:styleId="7">
    <w:name w:val="Heading 2 Char"/>
    <w:link w:val="2"/>
    <w:uiPriority w:val="9"/>
    <w:rPr>
      <w:rFonts w:ascii="STKaiti" w:hAnsi="STKaiti" w:eastAsia="STKaiti" w:cs="Kaiti SC Regular"/>
      <w:b/>
      <w:color w:val="auto"/>
      <w:spacing w:val="0"/>
      <w:w w:val="100"/>
      <w:kern w:val="2"/>
      <w:sz w:val="32"/>
      <w:szCs w:val="24"/>
      <w:u w:val="none"/>
      <w:vertAlign w:val="baseline"/>
      <w:lang w:val="en-US" w:bidi="en-US"/>
    </w:rPr>
  </w:style>
  <w:style w:type="character" w:customStyle="1" w:styleId="8">
    <w:name w:val="original Paragraph Font"/>
    <w:unhideWhenUsed/>
    <w:uiPriority w:val="1"/>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Office_12.1.0.16388_F1E327BC-269C-435d-A152-05C5408002CA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2024-03-07T01:52:15Z</dcterms:created>
  <dc:creator>Weizh</dc:creator>
  <cp:lastModifiedBy>徐炜哲</cp:lastModifiedBy>
  <dcterms:modified xsi:type="dcterms:W3CDTF">2024-03-07T01:52:36Z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28472C4617754459820E8D2CDE0B8B2D_12</vt:lpwstr>
  </property>
</Properties>
</file>