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styles+xml" PartName="/word/styles.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Relationships xmlns="http://schemas.openxmlformats.org/package/2006/relationships"><Relationship Id="rId1" Type="http://schemas.openxmlformats.org/officeDocument/2006/relationships/officeDocument" TargetMode="Internal"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16se w16cid w16 w16cex w16sdtdh wp14">
  <w:body>
    <w:p>
      <w:pPr>
        <w:jc w:val="center"/>
        <w:rPr>
          <w:rFonts w:ascii="STKaiti" w:hAnsi="STKaiti" w:eastAsia="STKaiti" w:cs="Kaiti SC Regular"/>
          <w:sz w:val="32"/>
          <w:szCs w:val="40"/>
        </w:rPr>
      </w:pPr>
      <w:r>
        <w:rPr>
          <w:color w:val="auto"/>
          <w:dstrike w:val="0"/>
          <w:i w:val="0"/>
          <w:kern w:val="2"/>
          <w:lang w:val="en-US" w:bidi="en-US"/>
          <w:rFonts w:hint="eastAsia" w:ascii="STKaiti" w:hAnsi="STKaiti" w:eastAsia="STKaiti" w:cs="Kaiti SC Regular"/>
          <w:rtl w:val="0"/>
          <w:spacing w:val="0"/>
          <w:strike w:val="0"/>
          <w:sz w:val="32"/>
          <w:szCs w:val="40"/>
          <w:u w:val="none"/>
          <w:vertAlign w:val="baseline"/>
          <w:w w:val="100"/>
        </w:rPr>
        <w:t>上海象上私募基金管理有限公司</w:t>
      </w:r>
    </w:p>
    <w:p>
      <w:pPr>
        <w:jc w:val="left"/>
        <w:rPr>
          <w:rFonts w:ascii="STKaiti" w:hAnsi="STKaiti" w:eastAsia="STKaiti" w:cs="Kaiti SC Regular"/>
          <w:sz w:val="24"/>
        </w:rPr>
      </w:pPr>
      <w:r>
        <w:rPr>
          <w:rFonts w:hint="eastAsia" w:ascii="STKaiti" w:hAnsi="STKaiti" w:eastAsia="STKaiti" w:cs="Kaiti SC Regular"/>
          <w:sz w:val="24"/>
        </w:rPr>
        <w:t>访谈对象：</w:t>
      </w:r>
      <w:r>
        <w:rPr>
          <w:rFonts w:hint="eastAsia" w:ascii="STKaiti" w:hAnsi="STKaiti" w:eastAsia="STKaiti" w:cs="Kaiti SC Regular"/>
          <w:sz w:val="24"/>
        </w:rPr>
        <w:t>杨伦</w:t>
      </w:r>
    </w:p>
    <w:p>
      <w:pPr>
        <w:pStyle w:val="6"/>
      </w:pPr>
      <w:r>
        <w:rPr/>
        <w:t>公司及人员</w:t>
      </w:r>
    </w:p>
    <w:p>
      <w:pPr>
        <w:jc w:val="left"/>
        <w:numPr>
          <w:ilvl w:val="0"/>
          <w:numId w:val="1"/>
        </w:numPr>
        <w:rPr>
          <w:b w:val="1"/>
          <w:rFonts w:ascii="STKaiti" w:hAnsi="STKaiti" w:eastAsia="STKaiti" w:cs="Kaiti SC Regular"/>
          <w:sz w:val="24"/>
        </w:rPr>
      </w:pPr>
      <w:r>
        <w:rPr>
          <w:b w:val="1"/>
          <w:rFonts w:hint="eastAsia" w:ascii="STKaiti" w:hAnsi="STKaiti" w:eastAsia="STKaiti" w:cs="Kaiti SC Regular"/>
          <w:sz w:val="24"/>
        </w:rPr>
        <w:t>公司概况：</w:t>
      </w:r>
    </w:p>
    <w:p>
      <w:pPr>
        <w:ind w:left="420"/>
        <w:jc w:val="left"/>
        <w:rPr>
          <w:rFonts w:ascii="STKaiti" w:hAnsi="STKaiti" w:eastAsia="STKaiti" w:cs="Kaiti SC Regular"/>
          <w:sz w:val="24"/>
        </w:rPr>
      </w:pPr>
      <w:r>
        <w:rPr>
          <w:rFonts w:hint="eastAsia" w:ascii="STKaiti" w:hAnsi="STKaiti" w:eastAsia="STKaiti" w:cs="Kaiti SC Regular"/>
          <w:sz w:val="24"/>
        </w:rPr>
        <w:tab/>
      </w:r>
      <w:r>
        <w:rPr>
          <w:b w:val="0"/>
          <w:color w:val="auto"/>
          <w:dstrike w:val="0"/>
          <w:i w:val="0"/>
          <w:kern w:val="2"/>
          <w:lang w:val="en-US" w:bidi="en-US"/>
          <w:rFonts w:hint="eastAsia" w:ascii="STKaiti" w:hAnsi="STKaiti" w:eastAsia="STKaiti" w:cs="Kaiti SC Regular"/>
          <w:rtl w:val="0"/>
          <w:spacing w:val="0"/>
          <w:strike w:val="0"/>
          <w:sz w:val="24"/>
          <w:szCs w:val="24"/>
          <w:u w:val="none"/>
          <w:vertAlign w:val="baseline"/>
          <w:w w:val="100"/>
        </w:rPr>
        <w:t>上海象上私募基金管理有限公司</w:t>
      </w:r>
      <w:r>
        <w:rPr>
          <w:color w:val="000000"/>
          <w:kern w:val="2"/>
          <w:rFonts w:ascii="STKaiti" w:hAnsi="STKaiti" w:eastAsia="STKaiti" w:cs="Kaiti SC"/>
          <w:sz w:val="24"/>
        </w:rPr>
        <w:t xml:space="preserve">，成立于 20</w:t>
      </w:r>
      <w:r>
        <w:rPr>
          <w:color w:val="000000"/>
          <w:kern w:val="2"/>
          <w:rFonts w:ascii="STKaiti" w:hAnsi="STKaiti" w:eastAsia="STKaiti" w:cs="Kaiti SC"/>
          <w:sz w:val="24"/>
        </w:rPr>
        <w:t>21</w:t>
      </w:r>
      <w:r>
        <w:rPr>
          <w:color w:val="000000"/>
          <w:kern w:val="2"/>
          <w:rFonts w:ascii="STKaiti" w:hAnsi="STKaiti" w:eastAsia="STKaiti" w:cs="Kaiti SC"/>
          <w:sz w:val="24"/>
        </w:rPr>
        <w:t xml:space="preserve">年 0</w:t>
      </w:r>
      <w:r>
        <w:rPr>
          <w:color w:val="000000"/>
          <w:kern w:val="2"/>
          <w:rFonts w:ascii="STKaiti" w:hAnsi="STKaiti" w:eastAsia="STKaiti" w:cs="Kaiti SC"/>
          <w:sz w:val="24"/>
        </w:rPr>
        <w:t>7</w:t>
      </w:r>
      <w:r>
        <w:rPr>
          <w:color w:val="000000"/>
          <w:kern w:val="2"/>
          <w:rFonts w:ascii="STKaiti" w:hAnsi="STKaiti" w:eastAsia="STKaiti" w:cs="Kaiti SC"/>
          <w:sz w:val="24"/>
        </w:rPr>
        <w:t xml:space="preserve"> 月 </w:t>
      </w:r>
      <w:r>
        <w:rPr>
          <w:color w:val="000000"/>
          <w:kern w:val="2"/>
          <w:rFonts w:ascii="STKaiti" w:hAnsi="STKaiti" w:eastAsia="STKaiti" w:cs="Kaiti SC"/>
          <w:sz w:val="24"/>
        </w:rPr>
        <w:t>27</w:t>
      </w:r>
      <w:r>
        <w:rPr>
          <w:color w:val="000000"/>
          <w:kern w:val="2"/>
          <w:rFonts w:ascii="STKaiti" w:hAnsi="STKaiti" w:eastAsia="STKaiti" w:cs="Kaiti SC"/>
          <w:sz w:val="24"/>
        </w:rPr>
        <w:t> 日， </w:t>
      </w:r>
      <w:r>
        <w:rPr>
          <w:color w:val="000000"/>
          <w:kern w:val="2"/>
          <w:rFonts w:ascii="STKaiti" w:hAnsi="STKaiti" w:eastAsia="STKaiti" w:cs="Kaiti SC"/>
          <w:sz w:val="24"/>
        </w:rPr>
        <w:t>2022</w:t>
      </w:r>
      <w:r>
        <w:rPr>
          <w:color w:val="000000"/>
          <w:kern w:val="2"/>
          <w:rFonts w:ascii="STKaiti" w:hAnsi="STKaiti" w:eastAsia="STKaiti" w:cs="Kaiti SC"/>
          <w:sz w:val="24"/>
        </w:rPr>
        <w:t xml:space="preserve">年 </w:t>
      </w:r>
      <w:r>
        <w:rPr>
          <w:color w:val="000000"/>
          <w:kern w:val="2"/>
          <w:rFonts w:ascii="STKaiti" w:hAnsi="STKaiti" w:eastAsia="STKaiti" w:cs="Kaiti SC"/>
          <w:sz w:val="24"/>
        </w:rPr>
        <w:t>0</w:t>
      </w:r>
      <w:r>
        <w:rPr>
          <w:color w:val="000000"/>
          <w:kern w:val="2"/>
          <w:rFonts w:ascii="STKaiti" w:hAnsi="STKaiti" w:eastAsia="STKaiti" w:cs="Kaiti SC"/>
          <w:sz w:val="24"/>
        </w:rPr>
        <w:t xml:space="preserve">1 月 1</w:t>
      </w:r>
      <w:r>
        <w:rPr>
          <w:color w:val="000000"/>
          <w:kern w:val="2"/>
          <w:rFonts w:ascii="STKaiti" w:hAnsi="STKaiti" w:eastAsia="STKaiti" w:cs="Kaiti SC"/>
          <w:sz w:val="24"/>
        </w:rPr>
        <w:t>1</w:t>
      </w:r>
      <w:r>
        <w:rPr>
          <w:color w:val="000000"/>
          <w:kern w:val="2"/>
          <w:rFonts w:ascii="STKaiti" w:hAnsi="STKaiti" w:eastAsia="STKaiti" w:cs="Kaiti SC"/>
          <w:sz w:val="24"/>
        </w:rPr>
        <w:t xml:space="preserve"> 日在协会备案。</w:t>
      </w:r>
      <w:r>
        <w:rPr>
          <w:color w:val="000000"/>
          <w:kern w:val="2"/>
          <w:rFonts w:ascii="STKaiti" w:hAnsi="STKaiti" w:eastAsia="STKaiti" w:cs="Kaiti SC"/>
          <w:sz w:val="24"/>
        </w:rPr>
        <w:t>非</w:t>
      </w:r>
      <w:r>
        <w:rPr>
          <w:color w:val="000000"/>
          <w:kern w:val="2"/>
          <w:rFonts w:ascii="STKaiti" w:hAnsi="STKaiti" w:eastAsia="STKaiti" w:cs="Kaiti SC"/>
          <w:sz w:val="24"/>
        </w:rPr>
        <w:t>协会会员，目前管理</w:t>
      </w:r>
      <w:r>
        <w:rPr>
          <w:color w:val="000000"/>
          <w:kern w:val="2"/>
          <w:rFonts w:ascii="STKaiti" w:hAnsi="STKaiti" w:eastAsia="STKaiti" w:cs="Kaiti SC"/>
          <w:sz w:val="24"/>
        </w:rPr>
        <w:t>2</w:t>
      </w:r>
      <w:r>
        <w:rPr>
          <w:color w:val="000000"/>
          <w:kern w:val="2"/>
          <w:rFonts w:ascii="STKaiti" w:hAnsi="STKaiti" w:eastAsia="STKaiti" w:cs="Kaiti SC"/>
          <w:sz w:val="24"/>
        </w:rPr>
        <w:t>亿。</w:t>
      </w:r>
      <w:r>
        <w:rPr>
          <w:color w:val="000000"/>
          <w:kern w:val="2"/>
          <w:rFonts w:ascii="STKaiti" w:hAnsi="STKaiti" w:eastAsia="STKaiti" w:cs="Kaiti SC"/>
          <w:sz w:val="24"/>
        </w:rPr>
        <w:t xml:space="preserve">不到 500 万为自营的主观多头产品，剩下</w:t>
      </w:r>
      <w:r>
        <w:rPr>
          <w:color w:val="000000"/>
          <w:kern w:val="2"/>
          <w:rFonts w:ascii="STKaiti" w:hAnsi="STKaiti" w:eastAsia="STKaiti" w:cs="Kaiti SC"/>
          <w:sz w:val="24"/>
        </w:rPr>
        <w:t>30%为股票市场中性策略，70%为中证500指增</w:t>
      </w:r>
      <w:r>
        <w:rPr>
          <w:color w:val="000000"/>
          <w:kern w:val="2"/>
          <w:rFonts w:ascii="STKaiti" w:hAnsi="STKaiti" w:eastAsia="STKaiti" w:cs="Kaiti SC"/>
          <w:sz w:val="24"/>
        </w:rPr>
        <w:t>。</w:t>
      </w:r>
    </w:p>
    <w:p>
      <w:pPr>
        <w:jc w:val="left"/>
        <w:numPr>
          <w:ilvl w:val="0"/>
          <w:numId w:val="1"/>
        </w:numPr>
        <w:rPr>
          <w:b w:val="1"/>
          <w:rFonts w:ascii="STKaiti" w:hAnsi="STKaiti" w:eastAsia="STKaiti" w:cs="Kaiti SC Regular"/>
          <w:sz w:val="24"/>
        </w:rPr>
      </w:pPr>
      <w:r>
        <w:rPr>
          <w:b w:val="1"/>
          <w:rFonts w:hint="eastAsia" w:ascii="STKaiti" w:hAnsi="STKaiti" w:eastAsia="STKaiti" w:cs="Kaiti SC Regular"/>
          <w:sz w:val="24"/>
        </w:rPr>
        <w:t>股东情况：</w:t>
      </w:r>
    </w:p>
    <w:p>
      <w:pPr>
        <w:ind w:firstLine="420" w:left="420"/>
        <w:jc w:val="left"/>
        <w:rPr>
          <w:rFonts w:ascii="STKaiti" w:hAnsi="STKaiti" w:eastAsia="STKaiti" w:cs="Kaiti SC Regular"/>
          <w:sz w:val="24"/>
        </w:rPr>
      </w:pPr>
      <w:r>
        <w:rPr>
          <w:color w:val="000000"/>
          <w:rFonts w:hint="eastAsia" w:ascii="STKaiti" w:hAnsi="STKaiti" w:eastAsia="STKaiti" w:cs="Kaiti SC Regular"/>
          <w:sz w:val="24"/>
        </w:rPr>
        <w:t>公司注册资本</w:t>
      </w:r>
      <w:r>
        <w:rPr>
          <w:color w:val="000000"/>
          <w:rFonts w:hint="default" w:ascii="STKaiti" w:hAnsi="STKaiti" w:eastAsia="STKaiti" w:cs="Kaiti SC Regular"/>
          <w:sz w:val="24"/>
        </w:rPr>
        <w:t>500</w:t>
      </w:r>
      <w:r>
        <w:rPr>
          <w:color w:val="000000"/>
          <w:rFonts w:hint="eastAsia" w:ascii="STKaiti" w:hAnsi="STKaiti" w:eastAsia="STKaiti" w:cs="Kaiti SC Regular"/>
          <w:sz w:val="24"/>
        </w:rPr>
        <w:t>万，100%实缴</w:t>
      </w:r>
      <w:r>
        <w:rPr>
          <w:color w:val="000000"/>
          <w:rFonts w:hint="eastAsia" w:ascii="STKaiti" w:hAnsi="STKaiti" w:eastAsia="STKaiti" w:cs="Kaiti SC Regular"/>
          <w:sz w:val="24"/>
        </w:rPr>
        <w:t>。</w:t>
      </w:r>
      <w:r>
        <w:rPr>
          <w:color w:val="000000"/>
          <w:rFonts w:hint="eastAsia" w:ascii="STKaiti" w:hAnsi="STKaiti" w:eastAsia="STKaiti" w:cs="Kaiti SC Regular"/>
          <w:sz w:val="24"/>
        </w:rPr>
        <w:t>创始人兼基金经理杨伦持股</w:t>
      </w:r>
      <w:r>
        <w:rPr>
          <w:color w:val="000000"/>
          <w:rFonts w:hint="default" w:ascii="STKaiti" w:hAnsi="STKaiti" w:eastAsia="STKaiti" w:cs="Kaiti SC Regular"/>
          <w:sz w:val="24"/>
        </w:rPr>
        <w:t>60%，市场总监黄希20%，财务投资人</w:t>
      </w:r>
      <w:r>
        <w:rPr>
          <w:b w:val="0"/>
          <w:color w:val="000000"/>
          <w:dstrike w:val="0"/>
          <w:i w:val="0"/>
          <w:kern w:val="2"/>
          <w:lang w:val="en-US" w:bidi="en-US"/>
          <w:rFonts w:hint="default" w:ascii="STKaiti" w:hAnsi="STKaiti" w:eastAsia="STKaiti" w:cs="Kaiti SC Regular"/>
          <w:rtl w:val="0"/>
          <w:spacing w:val="0"/>
          <w:strike w:val="0"/>
          <w:sz w:val="24"/>
          <w:szCs w:val="24"/>
          <w:u w:val="none"/>
          <w:vertAlign w:val="baseline"/>
          <w:w w:val="100"/>
        </w:rPr>
        <w:t>彭宇湄20%。</w:t>
      </w:r>
    </w:p>
    <w:p>
      <w:pPr>
        <w:jc w:val="left"/>
        <w:numPr>
          <w:ilvl w:val="0"/>
          <w:numId w:val="1"/>
        </w:numPr>
        <w:rPr>
          <w:b w:val="1"/>
          <w:rFonts w:ascii="STKaiti" w:hAnsi="STKaiti" w:eastAsia="STKaiti" w:cs="Kaiti SC Regular"/>
          <w:sz w:val="24"/>
        </w:rPr>
      </w:pPr>
      <w:r>
        <w:rPr>
          <w:b w:val="1"/>
          <w:rFonts w:hint="eastAsia" w:ascii="STKaiti" w:hAnsi="STKaiti" w:eastAsia="STKaiti" w:cs="Kaiti SC Regular"/>
          <w:sz w:val="24"/>
        </w:rPr>
        <w:t>组织架</w:t>
      </w:r>
      <w:r>
        <w:rPr>
          <w:b w:val="1"/>
          <w:color w:val="000000"/>
          <w:rFonts w:hint="eastAsia" w:ascii="STKaiti" w:hAnsi="STKaiti" w:eastAsia="STKaiti" w:cs="Kaiti SC Regular"/>
          <w:sz w:val="24"/>
        </w:rPr>
        <w:t>构：</w:t>
      </w:r>
    </w:p>
    <w:p>
      <w:pPr>
        <w:ind w:firstLine="420" w:left="420"/>
        <w:jc w:val="left"/>
        <w:rPr>
          <w:rFonts w:ascii="STKaiti" w:hAnsi="STKaiti" w:eastAsia="STKaiti" w:cs="Kaiti SC Regular"/>
          <w:sz w:val="24"/>
        </w:rPr>
      </w:pPr>
      <w:r>
        <w:rPr>
          <w:color w:val="000000"/>
          <w:rFonts w:hint="eastAsia" w:ascii="STKaiti" w:hAnsi="STKaiti" w:eastAsia="STKaiti" w:cs="Kaiti SC Regular"/>
          <w:sz w:val="24"/>
        </w:rPr>
        <w:t>总人数1</w:t>
      </w:r>
      <w:r>
        <w:rPr>
          <w:color w:val="000000"/>
          <w:rFonts w:hint="default" w:ascii="STKaiti" w:hAnsi="STKaiti" w:eastAsia="STKaiti" w:cs="Kaiti SC Regular"/>
          <w:sz w:val="24"/>
        </w:rPr>
        <w:t>2</w:t>
      </w:r>
      <w:r>
        <w:rPr>
          <w:color w:val="000000"/>
          <w:rFonts w:hint="eastAsia" w:ascii="STKaiti" w:hAnsi="STKaiti" w:eastAsia="STKaiti" w:cs="Kaiti SC Regular"/>
          <w:sz w:val="24"/>
        </w:rPr>
        <w:t>人，其中基金经理</w:t>
      </w:r>
      <w:r>
        <w:rPr>
          <w:color w:val="000000"/>
          <w:rFonts w:hint="default" w:ascii="STKaiti" w:hAnsi="STKaiti" w:eastAsia="STKaiti" w:cs="Kaiti SC Regular"/>
          <w:sz w:val="24"/>
        </w:rPr>
        <w:t>1</w:t>
      </w:r>
      <w:r>
        <w:rPr>
          <w:color w:val="000000"/>
          <w:rFonts w:hint="eastAsia" w:ascii="STKaiti" w:hAnsi="STKaiti" w:eastAsia="STKaiti" w:cs="Kaiti SC Regular"/>
          <w:sz w:val="24"/>
        </w:rPr>
        <w:t>人，量化研究员</w:t>
      </w:r>
      <w:r>
        <w:rPr>
          <w:color w:val="000000"/>
          <w:rFonts w:hint="default" w:ascii="STKaiti" w:hAnsi="STKaiti" w:eastAsia="STKaiti" w:cs="Kaiti SC Regular"/>
          <w:sz w:val="24"/>
        </w:rPr>
        <w:t>4</w:t>
      </w:r>
      <w:r>
        <w:rPr>
          <w:color w:val="000000"/>
          <w:rFonts w:hint="eastAsia" w:ascii="STKaiti" w:hAnsi="STKaiti" w:eastAsia="STKaiti" w:cs="Kaiti SC Regular"/>
          <w:sz w:val="24"/>
        </w:rPr>
        <w:t xml:space="preserve">人，交易和IT </w:t>
      </w:r>
      <w:r>
        <w:rPr>
          <w:color w:val="000000"/>
          <w:rFonts w:hint="default" w:ascii="STKaiti" w:hAnsi="STKaiti" w:eastAsia="STKaiti" w:cs="Kaiti SC Regular"/>
          <w:sz w:val="24"/>
        </w:rPr>
        <w:t>4人，</w:t>
      </w:r>
      <w:r>
        <w:rPr>
          <w:color w:val="000000"/>
          <w:rFonts w:hint="eastAsia" w:ascii="STKaiti" w:hAnsi="STKaiti" w:eastAsia="STKaiti" w:cs="Kaiti SC Regular"/>
          <w:sz w:val="24"/>
        </w:rPr>
        <w:t>风控1人，市场和运营2人，团队都在上海办公。</w:t>
      </w:r>
    </w:p>
    <w:p>
      <w:pPr>
        <w:ind w:firstLine="420" w:left="420"/>
        <w:jc w:val="left"/>
        <w:rPr>
          <w:color w:val="FF0000"/>
          <w:rFonts w:ascii="STKaiti" w:hAnsi="STKaiti" w:eastAsia="STKaiti" w:cs="Kaiti SC Regular"/>
          <w:sz w:val="24"/>
        </w:rPr>
      </w:pPr>
      <w:r>
        <w:rPr>
          <w:color w:val="000000"/>
          <w:rFonts w:hint="eastAsia" w:ascii="STKaiti" w:hAnsi="STKaiti" w:eastAsia="STKaiti" w:cs="Kaiti SC Regular"/>
          <w:sz w:val="24"/>
        </w:rPr>
        <w:t>分工方面，所有产品基金经理都为杨伦，黄希为市场总监，咸楠楠为合规风控负责人</w:t>
      </w:r>
      <w:r>
        <w:rPr>
          <w:color w:val="000000"/>
          <w:rFonts w:hint="eastAsia" w:ascii="STKaiti" w:hAnsi="STKaiti" w:eastAsia="STKaiti" w:cs="Kaiti SC Regular"/>
          <w:sz w:val="24"/>
        </w:rPr>
        <w:t>。</w:t>
      </w:r>
    </w:p>
    <w:p>
      <w:pPr>
        <w:jc w:val="left"/>
        <w:numPr>
          <w:ilvl w:val="0"/>
          <w:numId w:val="1"/>
        </w:numPr>
        <w:rPr>
          <w:b w:val="1"/>
          <w:rFonts w:ascii="STKaiti" w:hAnsi="STKaiti" w:eastAsia="STKaiti" w:cs="Kaiti SC Regular"/>
          <w:sz w:val="24"/>
        </w:rPr>
      </w:pPr>
      <w:r>
        <w:rPr>
          <w:b w:val="1"/>
          <w:rFonts w:hint="eastAsia" w:ascii="STKaiti" w:hAnsi="STKaiti" w:eastAsia="STKaiti" w:cs="Kaiti SC Regular"/>
          <w:sz w:val="24"/>
        </w:rPr>
        <w:t>核心人员背景：</w:t>
      </w:r>
    </w:p>
    <w:p>
      <w:pPr>
        <w:jc w:val="left"/>
        <w:numPr>
          <w:ilvl w:val="0"/>
          <w:numId w:val="2"/>
        </w:numPr>
        <w:rPr>
          <w:lang w:val="en-US" w:bidi="en-US"/>
          <w:rFonts w:hint="eastAsia" w:ascii="STKaiti" w:hAnsi="STKaiti" w:eastAsia="STKaiti" w:cs="Kaiti SC Regular"/>
          <w:sz w:val="24"/>
        </w:rPr>
      </w:pPr>
      <w:r>
        <w:rPr>
          <w:rFonts w:hint="eastAsia" w:ascii="STKaiti" w:hAnsi="STKaiti" w:eastAsia="STKaiti" w:cs="Kaiti SC Regular"/>
          <w:sz w:val="24"/>
        </w:rPr>
        <w:t>杨伦</w:t>
      </w:r>
      <w:r>
        <w:rPr>
          <w:rFonts w:hint="eastAsia" w:ascii="STKaiti" w:hAnsi="STKaiti" w:eastAsia="STKaiti" w:cs="Kaiti SC Regular"/>
          <w:sz w:val="24"/>
        </w:rPr>
        <w:t>（总经理&amp;</w:t>
      </w:r>
      <w:r>
        <w:rPr>
          <w:rFonts w:hint="eastAsia" w:ascii="STKaiti" w:hAnsi="STKaiti" w:eastAsia="STKaiti" w:cs="Kaiti SC Regular"/>
          <w:sz w:val="24"/>
        </w:rPr>
        <w:t>投资总监</w:t>
      </w:r>
      <w:r>
        <w:rPr>
          <w:rFonts w:hint="eastAsia" w:ascii="STKaiti" w:hAnsi="STKaiti" w:eastAsia="STKaiti" w:cs="Kaiti SC Regular"/>
          <w:sz w:val="24"/>
        </w:rPr>
        <w:t>）：</w:t>
      </w:r>
      <w:r>
        <w:rPr>
          <w:rFonts w:hint="eastAsia" w:ascii="STKaiti" w:hAnsi="STKaiti" w:eastAsia="STKaiti" w:cs="Kaiti SC Regular"/>
          <w:sz w:val="24"/>
        </w:rPr>
        <w:t>香港城市大学电子信</w:t>
      </w:r>
      <w:r>
        <w:rPr>
          <w:lang w:val="en-US" w:bidi="en-US"/>
          <w:rFonts w:hint="eastAsia" w:ascii="STKaiti" w:hAnsi="STKaiti" w:eastAsia="STKaiti" w:cs="Kaiti SC Regular"/>
          <w:sz w:val="24"/>
        </w:rPr>
        <w:t>息工程硕士</w:t>
      </w:r>
      <w:r>
        <w:rPr>
          <w:lang w:val="en-US" w:bidi="en-US"/>
          <w:rFonts w:hint="eastAsia" w:ascii="STKaiti" w:hAnsi="STKaiti" w:eastAsia="STKaiti" w:cs="Kaiti SC Regular"/>
          <w:sz w:val="24"/>
        </w:rPr>
        <w:t>，</w:t>
      </w:r>
      <w:r>
        <w:rPr>
          <w:lang w:val="en-US" w:bidi="en-US"/>
          <w:rFonts w:hint="eastAsia" w:ascii="STKaiti" w:hAnsi="STKaiti" w:eastAsia="STKaiti" w:cs="Kaiti SC Regular"/>
          <w:sz w:val="24"/>
        </w:rPr>
        <w:t>2013至2016年在</w:t>
      </w:r>
      <w:r>
        <w:rPr>
          <w:lang w:val="en-US" w:bidi="en-US"/>
          <w:rFonts w:hint="eastAsia" w:ascii="STKaiti" w:hAnsi="STKaiti" w:eastAsia="STKaiti" w:cs="Kaiti SC Regular"/>
          <w:sz w:val="24"/>
        </w:rPr>
        <w:t>华信咨询设计研究院有限公司信息通信研究院担任项目规划设计师。</w:t>
      </w:r>
      <w:r>
        <w:rPr>
          <w:lang w:val="en-US" w:bidi="en-US"/>
          <w:rFonts w:hint="eastAsia" w:ascii="STKaiti" w:hAnsi="STKaiti" w:eastAsia="STKaiti" w:cs="Kaiti SC Regular"/>
          <w:sz w:val="24"/>
        </w:rPr>
        <w:t>2</w:t>
      </w:r>
      <w:r>
        <w:rPr>
          <w:lang w:val="en-US" w:bidi="en-US"/>
          <w:rFonts w:hint="eastAsia" w:ascii="STKaiti" w:hAnsi="STKaiti" w:eastAsia="STKaiti" w:cs="Kaiti SC Regular"/>
          <w:sz w:val="24"/>
        </w:rPr>
        <w:t>0</w:t>
      </w:r>
      <w:r>
        <w:rPr>
          <w:lang w:val="en-US" w:bidi="en-US"/>
          <w:rFonts w:hint="eastAsia" w:ascii="STKaiti" w:hAnsi="STKaiti" w:eastAsia="STKaiti" w:cs="Kaiti SC Regular"/>
          <w:sz w:val="24"/>
        </w:rPr>
        <w:t>1</w:t>
      </w:r>
      <w:r>
        <w:rPr>
          <w:lang w:val="en-US" w:bidi="en-US"/>
          <w:rFonts w:hint="eastAsia" w:ascii="STKaiti" w:hAnsi="STKaiti" w:eastAsia="STKaiti" w:cs="Kaiti SC Regular"/>
          <w:sz w:val="24"/>
        </w:rPr>
        <w:t>6</w:t>
      </w:r>
      <w:r>
        <w:rPr>
          <w:lang w:val="en-US" w:bidi="en-US"/>
          <w:rFonts w:hint="eastAsia" w:ascii="STKaiti" w:hAnsi="STKaiti" w:eastAsia="STKaiti" w:cs="Kaiti SC Regular"/>
          <w:sz w:val="24"/>
        </w:rPr>
        <w:t>-</w:t>
      </w:r>
      <w:r>
        <w:rPr>
          <w:lang w:val="en-US" w:bidi="en-US"/>
          <w:rFonts w:hint="eastAsia" w:ascii="STKaiti" w:hAnsi="STKaiti" w:eastAsia="STKaiti" w:cs="Kaiti SC Regular"/>
          <w:sz w:val="24"/>
        </w:rPr>
        <w:t>2</w:t>
      </w:r>
      <w:r>
        <w:rPr>
          <w:lang w:val="en-US" w:bidi="en-US"/>
          <w:rFonts w:hint="eastAsia" w:ascii="STKaiti" w:hAnsi="STKaiti" w:eastAsia="STKaiti" w:cs="Kaiti SC Regular"/>
          <w:sz w:val="24"/>
        </w:rPr>
        <w:t>0</w:t>
      </w:r>
      <w:r>
        <w:rPr>
          <w:lang w:val="en-US" w:bidi="en-US"/>
          <w:rFonts w:hint="eastAsia" w:ascii="STKaiti" w:hAnsi="STKaiti" w:eastAsia="STKaiti" w:cs="Kaiti SC Regular"/>
          <w:sz w:val="24"/>
        </w:rPr>
        <w:t>1</w:t>
      </w:r>
      <w:r>
        <w:rPr>
          <w:lang w:val="en-US" w:bidi="en-US"/>
          <w:rFonts w:hint="eastAsia" w:ascii="STKaiti" w:hAnsi="STKaiti" w:eastAsia="STKaiti" w:cs="Kaiti SC Regular"/>
          <w:sz w:val="24"/>
        </w:rPr>
        <w:t>7</w:t>
      </w:r>
      <w:r>
        <w:rPr>
          <w:rFonts w:hint="eastAsia" w:ascii="STKaiti" w:hAnsi="STKaiti" w:eastAsia="STKaiti" w:cs="Kaiti SC Regular"/>
          <w:sz w:val="24"/>
        </w:rPr>
        <w:t>担任</w:t>
      </w:r>
      <w:r>
        <w:rPr>
          <w:lang w:val="en-US" w:bidi="en-US"/>
          <w:rFonts w:hint="eastAsia" w:ascii="STKaiti" w:hAnsi="STKaiti" w:eastAsia="STKaiti" w:cs="Kaiti SC Regular"/>
          <w:sz w:val="24"/>
        </w:rPr>
        <w:t>浙江核新同花顺网络信息股份有限公司产品经理。2017-2020加入</w:t>
      </w:r>
      <w:r>
        <w:rPr>
          <w:lang w:val="en-US" w:bidi="en-US"/>
          <w:rFonts w:hint="eastAsia" w:ascii="STKaiti" w:hAnsi="STKaiti" w:eastAsia="STKaiti" w:cs="Kaiti SC Regular"/>
          <w:sz w:val="24"/>
        </w:rPr>
        <w:t xml:space="preserve">上海厚瞻资产管理有限公司担任投资经理，途中2019/06 - 2019/08 短暂加入</w:t>
      </w:r>
      <w:r>
        <w:rPr>
          <w:lang w:val="en-US" w:bidi="en-US"/>
          <w:rFonts w:hint="eastAsia" w:ascii="STKaiti" w:hAnsi="STKaiti" w:eastAsia="STKaiti" w:cs="Kaiti SC Regular"/>
          <w:sz w:val="24"/>
        </w:rPr>
        <w:t>上海长富投资管理有限公司担任基金经理。2020-2021加入</w:t>
      </w:r>
      <w:r>
        <w:rPr>
          <w:lang w:val="en-US" w:bidi="en-US"/>
          <w:rFonts w:hint="eastAsia" w:ascii="STKaiti" w:hAnsi="STKaiti" w:eastAsia="STKaiti" w:cs="Kaiti SC Regular"/>
          <w:sz w:val="24"/>
        </w:rPr>
        <w:t>上海永唐盛世资产管理有限公司担任项目经理。2021年</w:t>
      </w:r>
      <w:r>
        <w:rPr>
          <w:rFonts w:hint="default" w:ascii="STKaiti" w:hAnsi="STKaiti" w:eastAsia="STKaiti" w:cs="Kaiti SC Regular"/>
          <w:sz w:val="24"/>
        </w:rPr>
        <w:t>7</w:t>
      </w:r>
      <w:r>
        <w:rPr>
          <w:rFonts w:hint="eastAsia" w:ascii="STKaiti" w:hAnsi="STKaiti" w:eastAsia="STKaiti" w:cs="Kaiti SC Regular"/>
          <w:sz w:val="24"/>
        </w:rPr>
        <w:t>月创建象上私募，并担任投资总监</w:t>
      </w:r>
    </w:p>
    <w:p>
      <w:pPr>
        <w:jc w:val="left"/>
        <w:numPr>
          <w:ilvl w:val="0"/>
          <w:numId w:val="2"/>
        </w:numPr>
        <w:rPr>
          <w:b w:val="1"/>
          <w:rFonts w:ascii="STKaiti" w:hAnsi="STKaiti" w:eastAsia="STKaiti" w:cs="Kaiti SC Regular"/>
          <w:sz w:val="24"/>
        </w:rPr>
      </w:pPr>
      <w:r>
        <w:rPr>
          <w:b w:val="1"/>
          <w:rFonts w:hint="eastAsia" w:ascii="STKaiti" w:hAnsi="STKaiti" w:eastAsia="STKaiti" w:cs="Kaiti SC Regular"/>
          <w:sz w:val="24"/>
        </w:rPr>
        <w:t>其他人员背景：</w:t>
      </w:r>
    </w:p>
    <w:p>
      <w:pPr>
        <w:ind w:firstLine="420" w:left="420"/>
        <w:jc w:val="left"/>
        <w:rPr>
          <w:rFonts w:ascii="STKaiti" w:hAnsi="STKaiti" w:eastAsia="STKaiti" w:cs="Kaiti SC Regular"/>
          <w:sz w:val="24"/>
        </w:rPr>
      </w:pPr>
      <w:r>
        <w:rPr>
          <w:rFonts w:hint="eastAsia" w:ascii="STKaiti" w:hAnsi="STKaiti" w:eastAsia="STKaiti" w:cs="Kaiti SC Regular"/>
          <w:sz w:val="24"/>
        </w:rPr>
        <w:t>无。</w:t>
      </w:r>
    </w:p>
    <w:p>
      <w:pPr>
        <w:jc w:val="left"/>
        <w:rPr>
          <w:rFonts w:ascii="STKaiti" w:hAnsi="STKaiti" w:eastAsia="STKaiti" w:cs="Kaiti SC Regular"/>
          <w:sz w:val="24"/>
        </w:rPr>
      </w:pPr>
    </w:p>
    <w:p>
      <w:pPr>
        <w:pStyle w:val="6"/>
        <w:rPr>
          <w:sz w:val="24"/>
        </w:rPr>
      </w:pPr>
      <w:r>
        <w:t>投资策略</w:t>
      </w:r>
    </w:p>
    <w:p>
      <w:pPr>
        <w:jc w:val="left"/>
        <w:numPr>
          <w:ilvl w:val="0"/>
          <w:numId w:val="3"/>
        </w:numPr>
        <w:rPr>
          <w:b w:val="1"/>
          <w:rFonts w:ascii="STKaiti" w:hAnsi="STKaiti" w:eastAsia="STKaiti" w:cs="Kaiti SC Regular"/>
          <w:sz w:val="24"/>
        </w:rPr>
      </w:pPr>
      <w:r>
        <w:rPr>
          <w:b w:val="1"/>
          <w:rFonts w:hint="eastAsia" w:ascii="STKaiti" w:hAnsi="STKaiti" w:eastAsia="STKaiti" w:cs="Kaiti SC Regular"/>
          <w:sz w:val="24"/>
        </w:rPr>
        <w:t>策略分类：</w:t>
      </w:r>
    </w:p>
    <w:p>
      <w:pPr>
        <w:ind w:firstLine="420" w:left="420"/>
        <w:jc w:val="left"/>
        <w:rPr>
          <w:rFonts w:hint="default" w:ascii="STKaiti" w:hAnsi="STKaiti" w:eastAsia="STKaiti" w:cs="Kaiti SC Regular"/>
          <w:sz w:val="24"/>
        </w:rPr>
      </w:pPr>
      <w:r>
        <w:rPr>
          <w:rFonts w:hint="eastAsia" w:ascii="STKaiti" w:hAnsi="STKaiti" w:eastAsia="STKaiti" w:cs="Kaiti SC Regular"/>
          <w:sz w:val="24"/>
        </w:rPr>
        <w:t xml:space="preserve">股票策略 </w:t>
      </w:r>
      <w:r>
        <w:rPr>
          <w:rFonts w:hint="default" w:ascii="STKaiti" w:hAnsi="STKaiti" w:eastAsia="STKaiti" w:cs="Kaiti SC Regular"/>
          <w:sz w:val="24"/>
        </w:rPr>
        <w:t xml:space="preserve">- 量化多头（中证500指增）</w:t>
      </w:r>
    </w:p>
    <w:p>
      <w:pPr>
        <w:ind w:firstLine="420" w:left="420"/>
        <w:jc w:val="left"/>
        <w:rPr>
          <w:rFonts w:ascii="STKaiti" w:hAnsi="STKaiti" w:eastAsia="STKaiti" w:cs="Kaiti SC Regular"/>
          <w:sz w:val="24"/>
        </w:rPr>
      </w:pPr>
      <w:r>
        <w:rPr>
          <w:rFonts w:hint="default" w:ascii="STKaiti" w:hAnsi="STKaiti" w:eastAsia="STKaiti" w:cs="Kaiti SC Regular"/>
          <w:sz w:val="24"/>
        </w:rPr>
        <w:t xml:space="preserve">股票策略 - 市场中性</w:t>
      </w:r>
    </w:p>
    <w:p>
      <w:pPr>
        <w:jc w:val="left"/>
        <w:numPr>
          <w:ilvl w:val="0"/>
          <w:numId w:val="3"/>
        </w:numPr>
        <w:rPr>
          <w:b w:val="1"/>
          <w:rFonts w:ascii="STKaiti" w:hAnsi="STKaiti" w:eastAsia="STKaiti" w:cs="Kaiti SC Regular"/>
          <w:sz w:val="24"/>
        </w:rPr>
      </w:pPr>
      <w:r>
        <w:rPr>
          <w:b w:val="1"/>
          <w:rFonts w:hint="eastAsia" w:ascii="STKaiti" w:hAnsi="STKaiti" w:eastAsia="STKaiti" w:cs="Kaiti SC Regular"/>
          <w:sz w:val="24"/>
        </w:rPr>
        <w:t>大类资产配置：</w:t>
      </w:r>
    </w:p>
    <w:p>
      <w:pPr>
        <w:ind w:firstLine="420" w:left="420"/>
        <w:jc w:val="left"/>
        <w:rPr>
          <w:rFonts w:ascii="STKaiti" w:hAnsi="STKaiti" w:eastAsia="STKaiti" w:cs="Kaiti SC Regular"/>
          <w:sz w:val="24"/>
        </w:rPr>
      </w:pPr>
      <w:r>
        <w:rPr>
          <w:rFonts w:hint="eastAsia" w:ascii="STKaiti" w:hAnsi="STKaiti" w:eastAsia="STKaiti" w:cs="Kaiti SC Regular"/>
          <w:sz w:val="24"/>
        </w:rPr>
        <w:t>A股，股指期货</w:t>
      </w:r>
    </w:p>
    <w:p>
      <w:pPr>
        <w:jc w:val="left"/>
        <w:numPr>
          <w:ilvl w:val="0"/>
          <w:numId w:val="3"/>
        </w:numPr>
        <w:rPr>
          <w:b w:val="1"/>
          <w:rFonts w:ascii="STKaiti" w:hAnsi="STKaiti" w:eastAsia="STKaiti" w:cs="Kaiti SC Regular"/>
          <w:sz w:val="24"/>
        </w:rPr>
      </w:pPr>
      <w:r>
        <w:rPr>
          <w:b w:val="1"/>
          <w:rFonts w:hint="eastAsia" w:ascii="STKaiti" w:hAnsi="STKaiti" w:eastAsia="STKaiti" w:cs="Kaiti SC Regular"/>
          <w:sz w:val="24"/>
        </w:rPr>
        <w:t>配置逻辑：</w:t>
      </w:r>
    </w:p>
    <w:p>
      <w:pPr>
        <w:ind w:firstLine="420" w:left="420"/>
        <w:jc w:val="left"/>
        <w:rPr>
          <w:color w:val="000000"/>
          <w:rFonts w:hint="default" w:ascii="STKaiti" w:hAnsi="STKaiti" w:eastAsia="STKaiti" w:cs="Kaiti SC Regular"/>
          <w:sz w:val="24"/>
        </w:rPr>
      </w:pPr>
      <w:r>
        <w:rPr>
          <w:color w:val="000000"/>
          <w:rFonts w:hint="eastAsia" w:ascii="STKaiti" w:hAnsi="STKaiti" w:eastAsia="STKaiti" w:cs="Kaiti SC Regular"/>
          <w:sz w:val="24"/>
        </w:rPr>
        <w:t>管理人早期在同花顺工作时，针对A股市场挖掘出数十个交易信号，在此基础上构建自己的量化策略。因子库中有</w:t>
      </w:r>
      <w:r>
        <w:rPr>
          <w:color w:val="000000"/>
          <w:rFonts w:hint="default" w:ascii="STKaiti" w:hAnsi="STKaiti" w:eastAsia="STKaiti" w:cs="Kaiti SC Regular"/>
          <w:sz w:val="24"/>
        </w:rPr>
        <w:t>200左右个因子，40%为从财务数据中挖掘的基本面因子，会根据使用行业中性和市值中性对因子进行加工，均为手工挖掘。50%为量价类因子，会在传统的量价指标上使用机器学习进行合成。10%为另类信息因子，主要是公司使用</w:t>
      </w:r>
      <w:r>
        <w:rPr>
          <w:color w:val="000000"/>
          <w:rFonts w:hint="default" w:ascii="STKaiti" w:hAnsi="STKaiti" w:eastAsia="STKaiti" w:cs="Kaiti SC Regular"/>
          <w:sz w:val="24"/>
        </w:rPr>
        <w:t>第三方</w:t>
      </w:r>
      <w:r>
        <w:rPr>
          <w:color w:val="000000"/>
          <w:rFonts w:hint="default" w:ascii="STKaiti" w:hAnsi="STKaiti" w:eastAsia="STKaiti" w:cs="Kaiti SC Regular"/>
          <w:sz w:val="24"/>
        </w:rPr>
        <w:t>的舆情系统，抓取个股的舆情信息，包括公司公告，新闻，专利信息等，并对市场情绪进行研判。2023年基本面因子贡献了近一半的收益。</w:t>
      </w:r>
      <w:r>
        <w:rPr>
          <w:color w:val="000000"/>
          <w:rFonts w:hint="eastAsia" w:ascii="STKaiti" w:hAnsi="STKaiti" w:eastAsia="STKaiti" w:cs="Kaiti SC Regular"/>
          <w:sz w:val="24"/>
        </w:rPr>
        <w:t>在实盘中会使用的因子约</w:t>
      </w:r>
      <w:r>
        <w:rPr>
          <w:color w:val="000000"/>
          <w:rFonts w:hint="default" w:ascii="STKaiti" w:hAnsi="STKaiti" w:eastAsia="STKaiti" w:cs="Kaiti SC Regular"/>
          <w:sz w:val="24"/>
        </w:rPr>
        <w:t>30-50个，因子的组合均为线性组合</w:t>
      </w:r>
      <w:r>
        <w:rPr>
          <w:color w:val="000000"/>
          <w:rFonts w:hint="eastAsia" w:ascii="STKaiti" w:hAnsi="STKaiti" w:eastAsia="STKaiti" w:cs="Kaiti SC Regular"/>
          <w:sz w:val="24"/>
        </w:rPr>
        <w:t>，组合的依据为因子相关性，相关性较高的因子会线性合成一个大因子，同时根据因子的历史表现对因子进行赋权。模型为排序打分，有多个子策略，主要根据信号时间和逻辑进行划分，如有的子策略以低频因子，基本面因子为主；有的子策略只使用经过中性化处理的因子；有的子策略以高频量价因子为主。最后会将不同子策略进行组合，组合方法为使用机器学习根据过往子策略表现对未来子策略表现进行预测，根据预期收益分配子策略权重。</w:t>
      </w:r>
    </w:p>
    <w:p>
      <w:pPr>
        <w:ind w:firstLine="420" w:left="420"/>
        <w:jc w:val="left"/>
        <w:rPr>
          <w:color w:val="000000"/>
          <w:rFonts w:hint="default" w:ascii="STKaiti" w:hAnsi="STKaiti" w:eastAsia="STKaiti" w:cs="Kaiti SC Regular"/>
          <w:sz w:val="24"/>
        </w:rPr>
      </w:pPr>
      <w:r>
        <w:rPr>
          <w:color w:val="000000"/>
          <w:rFonts w:hint="eastAsia" w:ascii="STKaiti" w:hAnsi="STKaiti" w:eastAsia="STKaiti" w:cs="Kaiti SC Regular"/>
          <w:sz w:val="24"/>
        </w:rPr>
        <w:t>最后根据组合后的打分模型，对全市场股票进行打分，持有一篮子</w:t>
      </w:r>
      <w:r>
        <w:rPr>
          <w:color w:val="000000"/>
          <w:rFonts w:hint="default" w:ascii="STKaiti" w:hAnsi="STKaiti" w:eastAsia="STKaiti" w:cs="Kaiti SC Regular"/>
          <w:sz w:val="24"/>
        </w:rPr>
        <w:t>200</w:t>
      </w:r>
      <w:r>
        <w:rPr>
          <w:color w:val="000000"/>
          <w:rFonts w:hint="default" w:ascii="STKaiti" w:hAnsi="STKaiti" w:eastAsia="STKaiti" w:cs="Kaiti SC Regular"/>
          <w:sz w:val="24"/>
        </w:rPr>
        <w:t>只个股，会使用跃然交易系统的T0交易模块，对个股叠加T0（日内回转）做收益增厚。调仓周期</w:t>
      </w:r>
      <w:r>
        <w:rPr>
          <w:color w:val="000000"/>
          <w:rFonts w:hint="default" w:ascii="STKaiti" w:hAnsi="STKaiti" w:eastAsia="STKaiti" w:cs="Kaiti SC Regular"/>
          <w:sz w:val="24"/>
        </w:rPr>
        <w:t>一般</w:t>
      </w:r>
      <w:r>
        <w:rPr>
          <w:color w:val="000000"/>
          <w:rFonts w:hint="default" w:ascii="STKaiti" w:hAnsi="STKaiti" w:eastAsia="STKaiti" w:cs="Kaiti SC Regular"/>
          <w:sz w:val="24"/>
        </w:rPr>
        <w:t>为日频</w:t>
      </w:r>
      <w:r>
        <w:rPr>
          <w:color w:val="000000"/>
          <w:rFonts w:hint="default" w:ascii="STKaiti" w:hAnsi="STKaiti" w:eastAsia="STKaiti" w:cs="Kaiti SC Regular"/>
          <w:sz w:val="24"/>
        </w:rPr>
        <w:t>，收盘后运行模型</w:t>
      </w:r>
      <w:r>
        <w:rPr>
          <w:color w:val="000000"/>
          <w:rFonts w:hint="default" w:ascii="STKaiti" w:hAnsi="STKaiti" w:eastAsia="STKaiti" w:cs="Kaiti SC Regular"/>
          <w:sz w:val="24"/>
        </w:rPr>
        <w:t>。</w:t>
      </w:r>
    </w:p>
    <w:p>
      <w:pPr>
        <w:ind w:firstLine="420" w:left="420"/>
        <w:jc w:val="left"/>
        <w:rPr>
          <w:color w:val="000000"/>
          <w:rFonts w:hint="default" w:ascii="STKaiti" w:hAnsi="STKaiti" w:eastAsia="STKaiti" w:cs="Kaiti SC Regular"/>
          <w:sz w:val="24"/>
        </w:rPr>
      </w:pPr>
      <w:r>
        <w:rPr>
          <w:color w:val="000000"/>
          <w:rFonts w:hint="default" w:ascii="STKaiti" w:hAnsi="STKaiti" w:eastAsia="STKaiti" w:cs="Kaiti SC Regular"/>
          <w:sz w:val="24"/>
        </w:rPr>
        <w:t>因子的更新上，团队持续挖掘因子，因子入库主要参考与现有因子相关性，单因子多空表现，ICIR，对现有模型的边际贡献程度等。因子会放在模拟盘中，观察表现后加入实盘。高频量价类因子观察2-3个月，中低频基本面和另类因子则观察约半年左右。对于实盘中表现不好的因子，则会下线放入因子库中进行观察，并改进迭代。</w:t>
      </w:r>
    </w:p>
    <w:p>
      <w:pPr>
        <w:ind w:firstLine="420" w:left="420"/>
        <w:jc w:val="left"/>
        <w:rPr>
          <w:b w:val="0"/>
          <w:color w:val="000000"/>
          <w:dstrike w:val="0"/>
          <w:i w:val="0"/>
          <w:lang w:val="en-US" w:bidi="en-US"/>
          <w:rFonts w:hint="default" w:ascii="STKaiti" w:hAnsi="STKaiti" w:eastAsia="STKaiti" w:cs="Kaiti SC Regular"/>
          <w:spacing w:val="0"/>
          <w:strike w:val="0"/>
          <w:sz w:val="24"/>
          <w:szCs w:val="24"/>
          <w:u w:val="none"/>
          <w:vertAlign w:val="baseline"/>
          <w:w w:val="100"/>
        </w:rPr>
      </w:pPr>
      <w:r>
        <w:rPr>
          <w:color w:val="000000"/>
          <w:rFonts w:hint="default" w:ascii="STKaiti" w:hAnsi="STKaiti" w:eastAsia="STKaiti" w:cs="Kaiti SC Regular"/>
          <w:sz w:val="24"/>
        </w:rPr>
        <w:t>500指增与中性产品多头端完全相同，中性产品空头端使用IC进行对冲，不留风险敞口。对冲端会使用基差管</w:t>
      </w:r>
      <w:r>
        <w:rPr>
          <w:color w:val="000000"/>
          <w:lang w:val="en-US" w:bidi="en-US"/>
          <w:rFonts w:hint="default" w:ascii="STKaiti" w:hAnsi="STKaiti" w:eastAsia="STKaiti" w:cs="Kaiti SC Regular"/>
          <w:sz w:val="24"/>
        </w:rPr>
        <w:t>理，</w:t>
      </w:r>
      <w:r>
        <w:rPr>
          <w:color w:val="000000"/>
          <w:lang w:val="en-US" w:bidi="en-US"/>
          <w:rFonts w:hint="default" w:ascii="STKaiti" w:hAnsi="STKaiti" w:eastAsia="STKaiti" w:cs="Kaiti SC Regular"/>
          <w:sz w:val="24"/>
        </w:rPr>
        <w:t>基于股指基差波动情况，灵活控制基金仓位，降低对冲成本对基金净值表现的冲击。
</w:t>
      </w:r>
    </w:p>
    <w:p>
      <w:pPr>
        <w:jc w:val="left"/>
        <w:numPr>
          <w:ilvl w:val="0"/>
          <w:numId w:val="3"/>
        </w:numPr>
        <w:rPr>
          <w:b w:val="1"/>
          <w:rFonts w:ascii="STKaiti" w:hAnsi="STKaiti" w:eastAsia="STKaiti" w:cs="Kaiti SC Regular"/>
          <w:sz w:val="24"/>
        </w:rPr>
      </w:pPr>
      <w:r>
        <w:rPr>
          <w:b w:val="1"/>
          <w:rFonts w:hint="eastAsia" w:ascii="STKaiti" w:hAnsi="STKaiti" w:eastAsia="STKaiti" w:cs="Kaiti SC Regular"/>
          <w:sz w:val="24"/>
        </w:rPr>
        <w:t>持仓特征：</w:t>
      </w:r>
    </w:p>
    <w:p>
      <w:pPr>
        <w:ind w:left="420"/>
        <w:jc w:val="left"/>
        <w:rPr>
          <w:b w:val="0"/>
          <w:rFonts w:ascii="STKaiti" w:hAnsi="STKaiti" w:eastAsia="STKaiti" w:cs="Kaiti SC Regular"/>
          <w:sz w:val="24"/>
        </w:rPr>
      </w:pPr>
      <w:r>
        <w:rPr>
          <w:b w:val="1"/>
          <w:rFonts w:hint="eastAsia" w:ascii="STKaiti" w:hAnsi="STKaiti" w:eastAsia="STKaiti" w:cs="Kaiti SC Regular"/>
          <w:sz w:val="24"/>
        </w:rPr>
        <w:tab/>
      </w:r>
      <w:r>
        <w:rPr>
          <w:rFonts w:hint="eastAsia" w:ascii="STKaiti" w:hAnsi="STKaiti" w:eastAsia="STKaiti" w:cs="Kaiti SC Regular"/>
          <w:sz w:val="24"/>
        </w:rPr>
        <w:t>指增与中性都持有</w:t>
      </w:r>
      <w:r>
        <w:rPr>
          <w:rFonts w:hint="default" w:ascii="STKaiti" w:hAnsi="STKaiti" w:eastAsia="STKaiti" w:cs="Kaiti SC Regular"/>
          <w:sz w:val="24"/>
        </w:rPr>
        <w:t>200</w:t>
      </w:r>
      <w:r>
        <w:rPr>
          <w:rFonts w:hint="default" w:ascii="STKaiti" w:hAnsi="STKaiti" w:eastAsia="STKaiti" w:cs="Kaiti SC Regular"/>
          <w:sz w:val="24"/>
        </w:rPr>
        <w:t>只个股，全市场选股，没有统计指数内持仓</w:t>
      </w:r>
      <w:r>
        <w:rPr>
          <w:rFonts w:hint="default" w:ascii="STKaiti" w:hAnsi="STKaiti" w:eastAsia="STKaiti" w:cs="Kaiti SC Regular"/>
          <w:sz w:val="24"/>
        </w:rPr>
        <w:t xml:space="preserve">，单股持仓上限 2%，持仓市值中位数大约 100 亿</w:t>
      </w:r>
      <w:r>
        <w:rPr>
          <w:rFonts w:hint="default" w:ascii="STKaiti" w:hAnsi="STKaiti" w:eastAsia="STKaiti" w:cs="Kaiti SC Regular"/>
          <w:sz w:val="24"/>
        </w:rPr>
        <w:t>。</w:t>
      </w:r>
      <w:r>
        <w:rPr>
          <w:rFonts w:hint="default" w:ascii="STKaiti" w:hAnsi="STKaiti" w:eastAsia="STKaiti" w:cs="Kaiti SC Regular"/>
          <w:sz w:val="24"/>
        </w:rPr>
        <w:t xml:space="preserve">与 500 指数行业</w:t>
      </w:r>
      <w:r>
        <w:rPr>
          <w:rFonts w:hint="default" w:ascii="STKaiti" w:hAnsi="STKaiti" w:eastAsia="STKaiti" w:cs="Kaiti SC Regular"/>
          <w:sz w:val="24"/>
        </w:rPr>
        <w:t>偏离度大约5%-10%。中性产品多头端和空头段1：1对冲，没有风险敞口。</w:t>
      </w:r>
    </w:p>
    <w:p>
      <w:pPr>
        <w:jc w:val="left"/>
        <w:numPr>
          <w:ilvl w:val="0"/>
          <w:numId w:val="3"/>
        </w:numPr>
        <w:rPr>
          <w:b w:val="1"/>
          <w:rFonts w:ascii="STKaiti" w:hAnsi="STKaiti" w:eastAsia="STKaiti" w:cs="Kaiti SC Regular"/>
          <w:sz w:val="24"/>
        </w:rPr>
      </w:pPr>
      <w:r>
        <w:rPr>
          <w:b w:val="1"/>
          <w:rFonts w:hint="eastAsia" w:ascii="STKaiti" w:hAnsi="STKaiti" w:eastAsia="STKaiti" w:cs="Kaiti SC Regular"/>
          <w:sz w:val="24"/>
        </w:rPr>
        <w:t>交易风格：</w:t>
      </w:r>
    </w:p>
    <w:p>
      <w:pPr>
        <w:ind w:firstLine="420" w:left="420"/>
        <w:jc w:val="left"/>
        <w:rPr>
          <w:color w:val="000000"/>
          <w:rFonts w:ascii="STKaiti" w:hAnsi="STKaiti" w:eastAsia="STKaiti" w:cs="Kaiti SC Regular"/>
          <w:sz w:val="24"/>
        </w:rPr>
      </w:pPr>
      <w:r>
        <w:rPr>
          <w:color w:val="000000"/>
          <w:rFonts w:hint="eastAsia" w:ascii="STKaiti" w:hAnsi="STKaiti" w:eastAsia="STKaiti" w:cs="Kaiti SC Regular"/>
          <w:sz w:val="24"/>
        </w:rPr>
        <w:t>程序化交易，叠加</w:t>
      </w:r>
      <w:r>
        <w:rPr>
          <w:color w:val="000000"/>
          <w:rFonts w:hint="default" w:ascii="STKaiti" w:hAnsi="STKaiti" w:eastAsia="STKaiti" w:cs="Kaiti SC Regular"/>
          <w:sz w:val="24"/>
        </w:rPr>
        <w:t>T0前换手率60-80倍</w:t>
      </w:r>
      <w:r>
        <w:rPr>
          <w:color w:val="000000"/>
          <w:rFonts w:hint="eastAsia" w:ascii="STKaiti" w:hAnsi="STKaiti" w:eastAsia="STKaiti" w:cs="Kaiti SC Regular"/>
          <w:sz w:val="24"/>
        </w:rPr>
        <w:t>。</w:t>
      </w:r>
    </w:p>
    <w:p>
      <w:pPr>
        <w:jc w:val="left"/>
        <w:numPr>
          <w:ilvl w:val="0"/>
          <w:numId w:val="3"/>
        </w:numPr>
        <w:rPr>
          <w:b w:val="1"/>
          <w:rFonts w:ascii="STKaiti" w:hAnsi="STKaiti" w:eastAsia="STKaiti" w:cs="Kaiti SC Regular"/>
          <w:sz w:val="24"/>
        </w:rPr>
      </w:pPr>
      <w:r>
        <w:rPr>
          <w:b w:val="1"/>
          <w:rFonts w:hint="eastAsia" w:ascii="STKaiti" w:hAnsi="STKaiti" w:eastAsia="STKaiti" w:cs="Kaiti SC Regular"/>
          <w:sz w:val="24"/>
        </w:rPr>
        <w:t>容量</w:t>
      </w:r>
      <w:r>
        <w:rPr>
          <w:b w:val="1"/>
          <w:color w:val="000000"/>
          <w:rFonts w:hint="eastAsia" w:ascii="STKaiti" w:hAnsi="STKaiti" w:eastAsia="STKaiti" w:cs="Kaiti SC Regular"/>
          <w:sz w:val="24"/>
        </w:rPr>
        <w:t>：</w:t>
      </w:r>
    </w:p>
    <w:p>
      <w:pPr>
        <w:ind w:firstLine="420" w:left="420"/>
        <w:jc w:val="left"/>
        <w:rPr>
          <w:rFonts w:ascii="STKaiti" w:hAnsi="STKaiti" w:eastAsia="STKaiti" w:cs="Kaiti SC Regular"/>
          <w:sz w:val="24"/>
        </w:rPr>
      </w:pPr>
      <w:r>
        <w:rPr>
          <w:rFonts w:hint="default" w:ascii="STKaiti" w:hAnsi="STKaiti" w:eastAsia="STKaiti" w:cs="Kaiti SC Regular"/>
          <w:sz w:val="24"/>
        </w:rPr>
        <w:t>20</w:t>
      </w:r>
      <w:r>
        <w:rPr>
          <w:rFonts w:hint="eastAsia" w:ascii="STKaiti" w:hAnsi="STKaiti" w:eastAsia="STKaiti" w:cs="Kaiti SC Regular"/>
          <w:sz w:val="24"/>
        </w:rPr>
        <w:t>亿。</w:t>
      </w:r>
    </w:p>
    <w:p>
      <w:pPr>
        <w:jc w:val="left"/>
        <w:rPr>
          <w:rFonts w:ascii="STKaiti" w:hAnsi="STKaiti" w:eastAsia="STKaiti" w:cs="Kaiti SC Regular"/>
          <w:sz w:val="24"/>
        </w:rPr>
      </w:pPr>
    </w:p>
    <w:p>
      <w:pPr>
        <w:pStyle w:val="6"/>
        <w:rPr>
          <w:sz w:val="24"/>
        </w:rPr>
      </w:pPr>
      <w:r>
        <w:t>风险控制</w:t>
      </w:r>
    </w:p>
    <w:p>
      <w:pPr>
        <w:jc w:val="left"/>
        <w:numPr>
          <w:ilvl w:val="0"/>
          <w:numId w:val="3"/>
        </w:numPr>
        <w:rPr>
          <w:b w:val="1"/>
          <w:rFonts w:ascii="STKaiti" w:hAnsi="STKaiti" w:eastAsia="STKaiti" w:cs="Kaiti SC Regular"/>
          <w:sz w:val="24"/>
        </w:rPr>
      </w:pPr>
      <w:r>
        <w:rPr>
          <w:b w:val="1"/>
          <w:rFonts w:hint="eastAsia" w:ascii="STKaiti" w:hAnsi="STKaiti" w:eastAsia="STKaiti" w:cs="Kaiti SC Regular"/>
          <w:sz w:val="24"/>
        </w:rPr>
        <w:t>风控手段：</w:t>
      </w:r>
    </w:p>
    <w:p>
      <w:pPr>
        <w:ind w:firstLine="420" w:left="420"/>
        <w:jc w:val="left"/>
        <w:rPr>
          <w:rFonts w:ascii="STKaiti" w:hAnsi="STKaiti" w:eastAsia="STKaiti" w:cs="Kaiti SC Regular"/>
          <w:sz w:val="24"/>
        </w:rPr>
      </w:pPr>
      <w:r>
        <w:rPr>
          <w:color w:val="000000"/>
          <w:rFonts w:hint="eastAsia" w:ascii="STKaiti" w:hAnsi="STKaiti" w:eastAsia="STKaiti" w:cs="Kaiti SC Regular"/>
          <w:sz w:val="24"/>
        </w:rPr>
        <w:t>指增产品</w:t>
      </w:r>
      <w:r>
        <w:rPr>
          <w:color w:val="000000"/>
          <w:rFonts w:hint="eastAsia" w:ascii="STKaiti" w:hAnsi="STKaiti" w:eastAsia="STKaiti" w:cs="Kaiti SC Regular"/>
          <w:sz w:val="24"/>
        </w:rPr>
        <w:t>全市场选股</w:t>
      </w:r>
      <w:r>
        <w:rPr>
          <w:color w:val="000000"/>
          <w:rFonts w:hint="default" w:ascii="STKaiti" w:hAnsi="STKaiti" w:eastAsia="STKaiti" w:cs="Kaiti SC Regular"/>
          <w:sz w:val="24"/>
        </w:rPr>
        <w:t>，</w:t>
      </w:r>
      <w:r>
        <w:rPr>
          <w:color w:val="000000"/>
          <w:rFonts w:hint="eastAsia" w:ascii="STKaiti" w:hAnsi="STKaiti" w:eastAsia="STKaiti" w:cs="Kaiti SC Regular"/>
          <w:sz w:val="24"/>
        </w:rPr>
        <w:t xml:space="preserve">分散持有 </w:t>
      </w:r>
      <w:r>
        <w:rPr>
          <w:color w:val="000000"/>
          <w:rFonts w:hint="default" w:ascii="STKaiti" w:hAnsi="STKaiti" w:eastAsia="STKaiti" w:cs="Kaiti SC Regular"/>
          <w:sz w:val="24"/>
        </w:rPr>
        <w:t>200</w:t>
      </w:r>
      <w:r>
        <w:rPr>
          <w:color w:val="000000"/>
          <w:rFonts w:hint="default" w:ascii="STKaiti" w:hAnsi="STKaiti" w:eastAsia="STKaiti" w:cs="Kaiti SC Regular"/>
          <w:sz w:val="24"/>
        </w:rPr>
        <w:t xml:space="preserve"> 只个股，个股持仓不超过 2%，同时控制与</w:t>
      </w:r>
      <w:r>
        <w:rPr>
          <w:color w:val="000000"/>
          <w:rFonts w:hint="default" w:ascii="STKaiti" w:hAnsi="STKaiti" w:eastAsia="STKaiti" w:cs="Kaiti SC Regular"/>
          <w:sz w:val="24"/>
        </w:rPr>
        <w:t xml:space="preserve">中证 500 指数偏离度 10% 以内</w:t>
      </w:r>
      <w:r>
        <w:rPr>
          <w:color w:val="000000"/>
          <w:rFonts w:hint="default" w:ascii="STKaiti" w:hAnsi="STKaiti" w:eastAsia="STKaiti" w:cs="Kaiti SC Regular"/>
          <w:sz w:val="24"/>
        </w:rPr>
        <w:t>；多个子模型混合预测，降低对单个模型的依赖。</w:t>
      </w:r>
      <w:r>
        <w:rPr>
          <w:rFonts w:hint="default" w:ascii="STKaiti" w:hAnsi="STKaiti" w:eastAsia="STKaiti" w:cs="Kaiti SC Regular"/>
          <w:sz w:val="24"/>
        </w:rPr>
        <w:t>会控制barra风险因子暴露，最大为±30%，一般在±15%左右。</w:t>
      </w:r>
      <w:r>
        <w:rPr>
          <w:rFonts w:hint="default" w:ascii="STKaiti" w:hAnsi="STKaiti" w:eastAsia="STKaiti" w:cs="Kaiti SC Regular"/>
          <w:sz w:val="24"/>
        </w:rPr>
        <w:t>每周监控因子和子策略表现，若单个子策略或因子表现不佳，会降低其权重，或直接下线，放到观察池中进行观察迭代。中性产品不留风险敞口，同时会做基差管理，择时进行开仓。</w:t>
      </w:r>
    </w:p>
    <w:p>
      <w:pPr>
        <w:jc w:val="left"/>
        <w:numPr>
          <w:ilvl w:val="0"/>
          <w:numId w:val="3"/>
        </w:numPr>
        <w:rPr>
          <w:rFonts w:ascii="STKaiti" w:hAnsi="STKaiti" w:eastAsia="STKaiti" w:cs="Kaiti SC Regular"/>
          <w:sz w:val="24"/>
        </w:rPr>
      </w:pPr>
      <w:r>
        <w:rPr>
          <w:rFonts w:hint="eastAsia" w:ascii="STKaiti" w:hAnsi="STKaiti" w:eastAsia="STKaiti" w:cs="Kaiti SC Regular"/>
          <w:sz w:val="24"/>
        </w:rPr>
        <w:t>风控效果：</w:t>
      </w:r>
    </w:p>
    <w:p>
      <w:pPr>
        <w:ind w:firstLine="420" w:left="420"/>
        <w:jc w:val="left"/>
        <w:rPr>
          <w:color w:val="000000"/>
          <w:rFonts w:hint="eastAsia" w:ascii="STKaiti" w:hAnsi="STKaiti" w:eastAsia="STKaiti" w:cs="Kaiti SC Regular"/>
          <w:sz w:val="24"/>
        </w:rPr>
      </w:pPr>
      <w:r>
        <w:rPr>
          <w:color w:val="000000"/>
          <w:rFonts w:hint="eastAsia" w:ascii="STKaiti" w:hAnsi="STKaiti" w:eastAsia="STKaiti" w:cs="Kaiti SC Regular"/>
          <w:sz w:val="24"/>
        </w:rPr>
        <w:t>中性产品</w:t>
      </w:r>
      <w:r>
        <w:rPr>
          <w:color w:val="000000"/>
          <w:rFonts w:hint="eastAsia" w:ascii="STKaiti" w:hAnsi="STKaiti" w:eastAsia="STKaiti" w:cs="Kaiti SC Regular"/>
          <w:sz w:val="24"/>
        </w:rPr>
        <w:t>参考</w:t>
      </w:r>
      <w:r>
        <w:rPr>
          <w:b w:val="0"/>
          <w:color w:val="000000"/>
          <w:dstrike w:val="0"/>
          <w:i w:val="0"/>
          <w:kern w:val="2"/>
          <w:lang w:val="en-US" w:bidi="en-US"/>
          <w:rFonts w:hint="eastAsia" w:ascii="STKaiti" w:hAnsi="STKaiti" w:eastAsia="STKaiti" w:cs="Kaiti SC Regular"/>
          <w:rtl w:val="0"/>
          <w:spacing w:val="0"/>
          <w:strike w:val="0"/>
          <w:sz w:val="24"/>
          <w:szCs w:val="24"/>
          <w:u w:val="none"/>
          <w:vertAlign w:val="baseline"/>
          <w:w w:val="100"/>
        </w:rPr>
        <w:t>象上中性一号</w:t>
      </w:r>
      <w:r>
        <w:rPr>
          <w:color w:val="000000"/>
          <w:rFonts w:hint="eastAsia" w:ascii="STKaiti" w:hAnsi="STKaiti" w:eastAsia="STKaiti" w:cs="Kaiti SC Regular"/>
          <w:sz w:val="24"/>
        </w:rPr>
        <w:t>，运行</w:t>
      </w:r>
      <w:r>
        <w:rPr>
          <w:color w:val="000000"/>
          <w:rFonts w:hint="default" w:ascii="STKaiti" w:hAnsi="STKaiti" w:eastAsia="STKaiti" w:cs="Kaiti SC Regular"/>
          <w:sz w:val="24"/>
        </w:rPr>
        <w:t>2</w:t>
      </w:r>
      <w:r>
        <w:rPr>
          <w:color w:val="000000"/>
          <w:rFonts w:hint="eastAsia" w:ascii="STKaiti" w:hAnsi="STKaiti" w:eastAsia="STKaiti" w:cs="Kaiti SC Regular"/>
          <w:sz w:val="24"/>
        </w:rPr>
        <w:t>年，最大回撤</w:t>
      </w:r>
      <w:r>
        <w:rPr>
          <w:color w:val="000000"/>
          <w:rFonts w:hint="default" w:ascii="STKaiti" w:hAnsi="STKaiti" w:eastAsia="STKaiti" w:cs="Kaiti SC Regular"/>
          <w:sz w:val="24"/>
        </w:rPr>
        <w:t>7.04</w:t>
      </w:r>
      <w:r>
        <w:rPr>
          <w:color w:val="000000"/>
          <w:rFonts w:hint="eastAsia" w:ascii="STKaiti" w:hAnsi="STKaiti" w:eastAsia="STKaiti" w:cs="Kaiti SC Regular"/>
          <w:sz w:val="24"/>
        </w:rPr>
        <w:t>%，半年后修复。近1年最大回撤排名前</w:t>
      </w:r>
      <w:r>
        <w:rPr>
          <w:color w:val="000000"/>
          <w:rFonts w:hint="default" w:ascii="STKaiti" w:hAnsi="STKaiti" w:eastAsia="STKaiti" w:cs="Kaiti SC Regular"/>
          <w:sz w:val="24"/>
        </w:rPr>
        <w:t>69%</w:t>
      </w:r>
      <w:r>
        <w:rPr>
          <w:color w:val="000000"/>
          <w:rFonts w:hint="eastAsia" w:ascii="STKaiti" w:hAnsi="STKaiti" w:eastAsia="STKaiti" w:cs="Kaiti SC Regular"/>
          <w:sz w:val="24"/>
        </w:rPr>
        <w:t>，夏普排名前</w:t>
      </w:r>
      <w:r>
        <w:rPr>
          <w:color w:val="000000"/>
          <w:rFonts w:hint="default" w:ascii="STKaiti" w:hAnsi="STKaiti" w:eastAsia="STKaiti" w:cs="Kaiti SC Regular"/>
          <w:sz w:val="24"/>
        </w:rPr>
        <w:t>35</w:t>
      </w:r>
      <w:r>
        <w:rPr>
          <w:color w:val="000000"/>
          <w:rFonts w:hint="eastAsia" w:ascii="STKaiti" w:hAnsi="STKaiti" w:eastAsia="STKaiti" w:cs="Kaiti SC Regular"/>
          <w:sz w:val="24"/>
        </w:rPr>
        <w:t>%。风控效果一般。</w:t>
      </w:r>
    </w:p>
    <w:p>
      <w:pPr>
        <w:ind w:firstLine="420" w:left="420"/>
        <w:jc w:val="left"/>
        <w:rPr>
          <w:color w:val="000000"/>
          <w:rFonts w:ascii="STKaiti" w:hAnsi="STKaiti" w:eastAsia="STKaiti" w:cs="Kaiti SC Regular"/>
          <w:sz w:val="24"/>
        </w:rPr>
      </w:pPr>
      <w:r>
        <w:rPr>
          <w:color w:val="000000"/>
          <w:rFonts w:hint="default" w:ascii="STKaiti" w:hAnsi="STKaiti" w:eastAsia="STKaiti" w:cs="Kaiti SC Regular"/>
          <w:sz w:val="24"/>
        </w:rPr>
        <w:t xml:space="preserve">500 指增产品</w:t>
      </w:r>
      <w:r>
        <w:rPr>
          <w:b w:val="0"/>
          <w:color w:val="000000"/>
          <w:dstrike w:val="0"/>
          <w:i w:val="0"/>
          <w:kern w:val="2"/>
          <w:lang w:val="en-US" w:bidi="en-US"/>
          <w:rFonts w:hint="default" w:ascii="STKaiti" w:hAnsi="STKaiti" w:eastAsia="STKaiti" w:cs="Kaiti SC Regular"/>
          <w:rtl w:val="0"/>
          <w:spacing w:val="0"/>
          <w:strike w:val="0"/>
          <w:sz w:val="24"/>
          <w:szCs w:val="24"/>
          <w:u w:val="none"/>
          <w:vertAlign w:val="baseline"/>
          <w:w w:val="100"/>
        </w:rPr>
        <w:t xml:space="preserve">象上指数增强一号B，运行1年 8 个月，最大回撤16.35%，超额最大回撤 9.82</w:t>
      </w:r>
      <w:r>
        <w:rPr>
          <w:b w:val="0"/>
          <w:color w:val="000000"/>
          <w:dstrike w:val="0"/>
          <w:i w:val="0"/>
          <w:kern w:val="2"/>
          <w:rFonts w:hint="default" w:ascii="STKaiti" w:hAnsi="STKaiti" w:eastAsia="STKaiti" w:cs="Kaiti SC Regular"/>
          <w:rtl w:val="0"/>
          <w:spacing w:val="0"/>
          <w:strike w:val="0"/>
          <w:sz w:val="24"/>
          <w:szCs w:val="24"/>
          <w:u w:val="none"/>
          <w:vertAlign w:val="baseline"/>
          <w:w w:val="100"/>
        </w:rPr>
        <w:t>%</w:t>
      </w:r>
      <w:r>
        <w:rPr>
          <w:b w:val="0"/>
          <w:color w:val="000000"/>
          <w:dstrike w:val="0"/>
          <w:i w:val="0"/>
          <w:kern w:val="2"/>
          <w:lang w:val="en-US" w:bidi="en-US"/>
          <w:rFonts w:hint="default" w:ascii="STKaiti" w:hAnsi="STKaiti" w:eastAsia="STKaiti" w:cs="Kaiti SC Regular"/>
          <w:rtl w:val="0"/>
          <w:spacing w:val="0"/>
          <w:strike w:val="0"/>
          <w:sz w:val="24"/>
          <w:szCs w:val="24"/>
          <w:u w:val="none"/>
          <w:vertAlign w:val="baseline"/>
          <w:w w:val="100"/>
        </w:rPr>
        <w:t xml:space="preserve">。超额最大回撤 10 个月修复。近</w:t>
      </w:r>
      <w:r>
        <w:rPr>
          <w:b w:val="0"/>
          <w:color w:val="000000"/>
          <w:dstrike w:val="0"/>
          <w:i w:val="0"/>
          <w:kern w:val="2"/>
          <w:rFonts w:hint="default" w:ascii="STKaiti" w:hAnsi="STKaiti" w:eastAsia="STKaiti" w:cs="Kaiti SC Regular"/>
          <w:rtl w:val="0"/>
          <w:spacing w:val="0"/>
          <w:strike w:val="0"/>
          <w:sz w:val="24"/>
          <w:szCs w:val="24"/>
          <w:u w:val="none"/>
          <w:vertAlign w:val="baseline"/>
          <w:w w:val="100"/>
        </w:rPr>
        <w:t xml:space="preserve">1 年最大回撤排名前 78%，夏普排名前 55%，风控效果较差。</w:t>
      </w:r>
    </w:p>
    <w:p>
      <w:pPr>
        <w:jc w:val="left"/>
        <w:rPr>
          <w:rFonts w:ascii="STKaiti" w:hAnsi="STKaiti" w:eastAsia="STKaiti" w:cs="Kaiti SC Regular"/>
          <w:sz w:val="24"/>
        </w:rPr>
      </w:pPr>
    </w:p>
    <w:p>
      <w:pPr>
        <w:pStyle w:val="6"/>
        <w:rPr>
          <w:sz w:val="24"/>
        </w:rPr>
      </w:pPr>
      <w:r>
        <w:t>产品情况</w:t>
      </w:r>
    </w:p>
    <w:p>
      <w:pPr>
        <w:jc w:val="left"/>
        <w:numPr>
          <w:ilvl w:val="0"/>
          <w:numId w:val="3"/>
        </w:numPr>
        <w:rPr>
          <w:b w:val="1"/>
          <w:rFonts w:ascii="STKaiti" w:hAnsi="STKaiti" w:eastAsia="STKaiti" w:cs="Kaiti SC Regular"/>
          <w:sz w:val="24"/>
        </w:rPr>
      </w:pPr>
      <w:r>
        <w:rPr>
          <w:b w:val="1"/>
          <w:rFonts w:hint="eastAsia" w:ascii="STKaiti" w:hAnsi="STKaiti" w:eastAsia="STKaiti" w:cs="Kaiti SC Regular"/>
          <w:sz w:val="24"/>
        </w:rPr>
        <w:t>管理规模：</w:t>
      </w:r>
    </w:p>
    <w:p>
      <w:pPr>
        <w:ind w:firstLine="420" w:left="420"/>
        <w:jc w:val="left"/>
        <w:rPr>
          <w:color w:val="FF0000"/>
          <w:rFonts w:ascii="STKaiti" w:hAnsi="STKaiti" w:eastAsia="STKaiti" w:cs="Kaiti SC Regular"/>
          <w:sz w:val="24"/>
        </w:rPr>
      </w:pPr>
      <w:r>
        <w:rPr>
          <w:color w:val="000000"/>
          <w:rFonts w:hint="eastAsia" w:ascii="STKaiti" w:hAnsi="STKaiti" w:eastAsia="STKaiti" w:cs="Kaiti SC Regular"/>
          <w:sz w:val="24"/>
        </w:rPr>
        <w:t>管理规模</w:t>
      </w:r>
      <w:r>
        <w:rPr>
          <w:color w:val="000000"/>
          <w:rFonts w:hint="default" w:ascii="STKaiti" w:hAnsi="STKaiti" w:eastAsia="STKaiti" w:cs="Kaiti SC Regular"/>
          <w:sz w:val="24"/>
        </w:rPr>
        <w:t>2</w:t>
      </w:r>
      <w:r>
        <w:rPr>
          <w:color w:val="000000"/>
          <w:rFonts w:hint="eastAsia" w:ascii="STKaiti" w:hAnsi="STKaiti" w:eastAsia="STKaiti" w:cs="Kaiti SC Regular"/>
          <w:sz w:val="24"/>
        </w:rPr>
        <w:t xml:space="preserve">亿。其中有不到 5</w:t>
      </w:r>
      <w:r>
        <w:rPr>
          <w:color w:val="000000"/>
          <w:rFonts w:hint="default" w:ascii="STKaiti" w:hAnsi="STKaiti" w:eastAsia="STKaiti" w:cs="Kaiti SC Regular"/>
          <w:sz w:val="24"/>
        </w:rPr>
        <w:t xml:space="preserve">00 万为主观多头产品，剩余 30% 为股票市场中性，70% 为中证 500 指增</w:t>
      </w:r>
      <w:r>
        <w:rPr>
          <w:color w:val="000000"/>
          <w:rFonts w:hint="eastAsia" w:ascii="STKaiti" w:hAnsi="STKaiti" w:eastAsia="STKaiti" w:cs="Kaiti SC Regular"/>
          <w:sz w:val="24"/>
        </w:rPr>
        <w:t>。</w:t>
      </w:r>
    </w:p>
    <w:p>
      <w:pPr>
        <w:ind w:firstLine="420" w:left="420"/>
        <w:jc w:val="left"/>
        <w:rPr>
          <w:color w:val="000000"/>
          <w:rFonts w:ascii="STKaiti" w:hAnsi="STKaiti" w:eastAsia="STKaiti" w:cs="Kaiti SC Regular"/>
          <w:sz w:val="24"/>
        </w:rPr>
      </w:pPr>
      <w:r>
        <w:rPr>
          <w:color w:val="000000"/>
          <w:rFonts w:hint="eastAsia" w:ascii="STKaiti" w:hAnsi="STKaiti" w:eastAsia="STKaiti" w:cs="Kaiti SC Regular"/>
          <w:sz w:val="24"/>
        </w:rPr>
        <w:t>资金来源方面，</w:t>
      </w:r>
      <w:r>
        <w:rPr>
          <w:color w:val="000000"/>
          <w:rFonts w:hint="default" w:ascii="STKaiti" w:hAnsi="STKaiti" w:eastAsia="STKaiti" w:cs="Kaiti SC Regular"/>
          <w:sz w:val="24"/>
        </w:rPr>
        <w:t xml:space="preserve">90% 为自有资金，剩余为个人直销和少量的机构直销</w:t>
      </w:r>
      <w:r>
        <w:rPr>
          <w:color w:val="000000"/>
          <w:rFonts w:hint="eastAsia" w:ascii="STKaiti" w:hAnsi="STKaiti" w:eastAsia="STKaiti" w:cs="Kaiti SC Regular"/>
          <w:sz w:val="24"/>
        </w:rPr>
        <w:t>。</w:t>
      </w:r>
    </w:p>
    <w:p>
      <w:pPr>
        <w:jc w:val="left"/>
        <w:numPr>
          <w:ilvl w:val="0"/>
          <w:numId w:val="3"/>
        </w:numPr>
        <w:rPr>
          <w:b w:val="1"/>
          <w:color w:val="000000"/>
          <w:rFonts w:ascii="STKaiti" w:hAnsi="STKaiti" w:eastAsia="STKaiti" w:cs="Kaiti SC Regular"/>
          <w:sz w:val="24"/>
        </w:rPr>
      </w:pPr>
      <w:r>
        <w:rPr>
          <w:b w:val="1"/>
          <w:rFonts w:hint="eastAsia" w:ascii="STKaiti" w:hAnsi="STKaiti" w:eastAsia="STKaiti" w:cs="Kaiti SC Regular"/>
          <w:sz w:val="24"/>
        </w:rPr>
        <w:t>产品概述：</w:t>
      </w:r>
    </w:p>
    <w:p>
      <w:pPr>
        <w:ind w:firstLine="420" w:left="420"/>
        <w:jc w:val="left"/>
        <w:rPr>
          <w:color w:val="FF0000"/>
          <w:rFonts w:ascii="STKaiti" w:hAnsi="STKaiti" w:eastAsia="STKaiti" w:cs="Kaiti SC Regular"/>
          <w:sz w:val="24"/>
        </w:rPr>
      </w:pPr>
      <w:r>
        <w:rPr>
          <w:color w:val="000000"/>
          <w:rFonts w:hint="eastAsia" w:ascii="STKaiti" w:hAnsi="STKaiti" w:eastAsia="STKaiti" w:cs="Kaiti SC Regular"/>
          <w:sz w:val="24"/>
        </w:rPr>
        <w:t>运行产品13只，组合大师</w:t>
      </w:r>
      <w:r>
        <w:rPr>
          <w:color w:val="000000"/>
          <w:rFonts w:hint="eastAsia" w:ascii="STKaiti" w:hAnsi="STKaiti" w:eastAsia="STKaiti" w:cs="Kaiti SC Regular"/>
          <w:sz w:val="24"/>
        </w:rPr>
        <w:t>仅有象上中性一号和</w:t>
      </w:r>
      <w:r>
        <w:rPr>
          <w:b w:val="0"/>
          <w:color w:val="000000"/>
          <w:dstrike w:val="0"/>
          <w:i w:val="0"/>
          <w:kern w:val="2"/>
          <w:rFonts w:hint="default" w:ascii="STKaiti" w:hAnsi="STKaiti" w:eastAsia="STKaiti" w:cs="Kaiti SC Regular"/>
          <w:spacing w:val="0"/>
          <w:strike w:val="0"/>
          <w:sz w:val="24"/>
          <w:szCs w:val="24"/>
          <w:u w:val="none"/>
          <w:vertAlign w:val="baseline"/>
          <w:w w:val="100"/>
        </w:rPr>
        <w:t>象上指数增强一号B有净值更新</w:t>
      </w:r>
      <w:r>
        <w:rPr>
          <w:color w:val="000000"/>
          <w:rFonts w:hint="eastAsia" w:ascii="STKaiti" w:hAnsi="STKaiti" w:eastAsia="STKaiti" w:cs="Kaiti SC Regular"/>
          <w:sz w:val="24"/>
        </w:rPr>
        <w:t>。历史清算产品</w:t>
      </w:r>
      <w:r>
        <w:rPr>
          <w:color w:val="000000"/>
          <w:rFonts w:hint="default" w:ascii="STKaiti" w:hAnsi="STKaiti" w:eastAsia="STKaiti" w:cs="Kaiti SC Regular"/>
          <w:sz w:val="24"/>
        </w:rPr>
        <w:t>2</w:t>
      </w:r>
      <w:r>
        <w:rPr>
          <w:color w:val="000000"/>
          <w:rFonts w:hint="eastAsia" w:ascii="STKaiti" w:hAnsi="STKaiti" w:eastAsia="STKaiti" w:cs="Kaiti SC Regular"/>
          <w:sz w:val="24"/>
        </w:rPr>
        <w:t>只，均为自营的中性策略产品</w:t>
      </w:r>
      <w:r>
        <w:rPr>
          <w:color w:val="000000"/>
          <w:rFonts w:hint="default" w:ascii="STKaiti" w:hAnsi="STKaiti" w:eastAsia="STKaiti" w:cs="Kaiti SC Regular"/>
          <w:sz w:val="24"/>
        </w:rPr>
        <w:t>。剩余所有的产品都隐藏了净值信息，管理人表示由于目前规模主要是自营和自有资金，不想过多披露净值</w:t>
      </w:r>
      <w:r>
        <w:rPr>
          <w:color w:val="000000"/>
          <w:rFonts w:hint="eastAsia" w:ascii="STKaiti" w:hAnsi="STKaiti" w:eastAsia="STKaiti" w:cs="Kaiti SC Regular"/>
          <w:sz w:val="24"/>
        </w:rPr>
        <w:t>。</w:t>
      </w:r>
    </w:p>
    <w:p>
      <w:pPr>
        <w:ind w:firstLine="420" w:left="420"/>
        <w:jc w:val="left"/>
        <w:rPr>
          <w:color w:val="000000"/>
          <w:rFonts w:hint="default" w:ascii="STKaiti" w:hAnsi="STKaiti" w:eastAsia="STKaiti" w:cs="Kaiti SC Regular"/>
          <w:sz w:val="24"/>
        </w:rPr>
      </w:pPr>
      <w:r>
        <w:rPr>
          <w:color w:val="000000"/>
          <w:rFonts w:hint="eastAsia" w:ascii="STKaiti" w:hAnsi="STKaiti" w:eastAsia="STKaiti" w:cs="Kaiti SC Regular"/>
          <w:sz w:val="24"/>
        </w:rPr>
        <w:t>存续产品线</w:t>
      </w:r>
      <w:r>
        <w:rPr>
          <w:color w:val="000000"/>
          <w:rFonts w:hint="eastAsia" w:ascii="STKaiti" w:hAnsi="STKaiti" w:eastAsia="STKaiti" w:cs="Kaiti SC Regular"/>
          <w:sz w:val="24"/>
        </w:rPr>
        <w:t>上</w:t>
      </w:r>
      <w:r>
        <w:rPr>
          <w:color w:val="000000"/>
          <w:rFonts w:hint="eastAsia" w:ascii="STKaiti" w:hAnsi="STKaiti" w:eastAsia="STKaiti" w:cs="Kaiti SC Regular"/>
          <w:sz w:val="24"/>
        </w:rPr>
        <w:t>，</w:t>
      </w:r>
      <w:r>
        <w:rPr>
          <w:color w:val="000000"/>
          <w:rFonts w:hint="eastAsia" w:ascii="STKaiti" w:hAnsi="STKaiti" w:eastAsia="STKaiti" w:cs="Kaiti SC Regular"/>
          <w:sz w:val="24"/>
        </w:rPr>
        <w:t xml:space="preserve">象上中性 1 号和天阶系列为中性策略</w:t>
      </w:r>
      <w:r>
        <w:rPr>
          <w:color w:val="000000"/>
          <w:rFonts w:hint="default" w:ascii="STKaiti" w:hAnsi="STKaiti" w:eastAsia="STKaiti" w:cs="Kaiti SC Regular"/>
          <w:sz w:val="24"/>
        </w:rPr>
        <w:t xml:space="preserve">；名字中带有“指数增强”的为中证 500 指增；剩下的标签为量化多头但名字不带指数增强的为量化选股策略，总体沿用指增的模型，但在风险约束端会做一定的调整；名字中带有“多策略”的为用来测试新策略的产品；象上观云一号为自营的主观策略。</w:t>
      </w:r>
    </w:p>
    <w:p>
      <w:pPr>
        <w:jc w:val="left"/>
        <w:numPr>
          <w:ilvl w:val="0"/>
          <w:numId w:val="4"/>
        </w:numPr>
        <w:rPr>
          <w:b w:val="1"/>
          <w:rFonts w:ascii="STKaiti" w:hAnsi="STKaiti" w:eastAsia="STKaiti" w:cs="Kaiti SC Regular"/>
          <w:sz w:val="24"/>
        </w:rPr>
      </w:pPr>
      <w:r>
        <w:rPr>
          <w:b w:val="1"/>
          <w:color w:val="000000"/>
          <w:rFonts w:hint="eastAsia" w:ascii="STKaiti" w:hAnsi="STKaiti" w:eastAsia="STKaiti" w:cs="Kaiti SC Regular"/>
          <w:sz w:val="24"/>
        </w:rPr>
        <w:t>代表产品：</w:t>
      </w:r>
    </w:p>
    <w:p>
      <w:pPr>
        <w:ind w:firstLine="420" w:left="420"/>
        <w:jc w:val="left"/>
        <w:rPr>
          <w:rFonts w:ascii="STKaiti" w:hAnsi="STKaiti" w:eastAsia="STKaiti" w:cs="Kaiti SC Regular"/>
          <w:sz w:val="24"/>
        </w:rPr>
      </w:pPr>
      <w:r>
        <w:rPr>
          <w:color w:val="000000"/>
          <w:rFonts w:hint="eastAsia" w:ascii="STKaiti" w:hAnsi="STKaiti" w:eastAsia="STKaiti" w:cs="Kaiti SC Regular"/>
          <w:sz w:val="24"/>
        </w:rPr>
        <w:t>指增代表产品</w:t>
      </w:r>
      <w:r>
        <w:rPr>
          <w:b w:val="0"/>
          <w:color w:val="000000"/>
          <w:dstrike w:val="0"/>
          <w:i w:val="0"/>
          <w:kern w:val="2"/>
          <w:rFonts w:hint="default" w:ascii="STKaiti" w:hAnsi="STKaiti" w:eastAsia="STKaiti" w:cs="Kaiti SC Regular"/>
          <w:spacing w:val="0"/>
          <w:strike w:val="0"/>
          <w:sz w:val="24"/>
          <w:szCs w:val="24"/>
          <w:u w:val="none"/>
          <w:vertAlign w:val="baseline"/>
          <w:w w:val="100"/>
        </w:rPr>
        <w:t xml:space="preserve">象上指数增强一号B，运行1 年 8 个月，规模 3000 万，为目前唯一披露净值的中证 500 指数增强产品</w:t>
      </w:r>
      <w:r>
        <w:rPr>
          <w:color w:val="000000"/>
          <w:rFonts w:hint="eastAsia" w:ascii="STKaiti" w:hAnsi="STKaiti" w:eastAsia="STKaiti" w:cs="Kaiti SC Regular"/>
          <w:sz w:val="24"/>
        </w:rPr>
        <w:t>。</w:t>
      </w:r>
    </w:p>
    <w:p>
      <w:pPr>
        <w:jc w:val="left"/>
        <w:numPr>
          <w:ilvl w:val="0"/>
          <w:numId w:val="5"/>
        </w:numPr>
        <w:rPr>
          <w:rFonts w:ascii="STKaiti" w:hAnsi="STKaiti" w:eastAsia="STKaiti" w:cs="Kaiti SC Regular"/>
          <w:sz w:val="24"/>
        </w:rPr>
      </w:pPr>
      <w:r>
        <w:rPr>
          <w:color w:val="000000"/>
          <w:rFonts w:hint="eastAsia" w:ascii="STKaiti" w:hAnsi="STKaiti" w:eastAsia="STKaiti" w:cs="Kaiti SC Regular"/>
          <w:sz w:val="24"/>
        </w:rPr>
        <w:t>风险收益表现：累计收益</w:t>
      </w:r>
      <w:r>
        <w:rPr>
          <w:color w:val="000000"/>
          <w:rFonts w:hint="default" w:ascii="STKaiti" w:hAnsi="STKaiti" w:eastAsia="STKaiti" w:cs="Kaiti SC Regular"/>
          <w:sz w:val="24"/>
        </w:rPr>
        <w:t>-13.97</w:t>
      </w:r>
      <w:r>
        <w:rPr>
          <w:color w:val="000000"/>
          <w:rFonts w:hint="eastAsia" w:ascii="STKaiti" w:hAnsi="STKaiti" w:eastAsia="STKaiti" w:cs="Kaiti SC Regular"/>
          <w:sz w:val="24"/>
        </w:rPr>
        <w:t>%，202</w:t>
      </w:r>
      <w:r>
        <w:rPr>
          <w:color w:val="000000"/>
          <w:rFonts w:hint="default" w:ascii="STKaiti" w:hAnsi="STKaiti" w:eastAsia="STKaiti" w:cs="Kaiti SC Regular"/>
          <w:sz w:val="24"/>
        </w:rPr>
        <w:t>3</w:t>
      </w:r>
      <w:r>
        <w:rPr>
          <w:color w:val="000000"/>
          <w:rFonts w:hint="eastAsia" w:ascii="STKaiti" w:hAnsi="STKaiti" w:eastAsia="STKaiti" w:cs="Kaiti SC Regular"/>
          <w:sz w:val="24"/>
        </w:rPr>
        <w:t>年收益为2</w:t>
      </w:r>
      <w:r>
        <w:rPr>
          <w:color w:val="000000"/>
          <w:rFonts w:hint="default" w:ascii="STKaiti" w:hAnsi="STKaiti" w:eastAsia="STKaiti" w:cs="Kaiti SC Regular"/>
          <w:sz w:val="24"/>
        </w:rPr>
        <w:t>.38</w:t>
      </w:r>
      <w:r>
        <w:rPr>
          <w:color w:val="000000"/>
          <w:rFonts w:hint="eastAsia" w:ascii="STKaiti" w:hAnsi="STKaiti" w:eastAsia="STKaiti" w:cs="Kaiti SC Regular"/>
          <w:sz w:val="24"/>
        </w:rPr>
        <w:t>%</w:t>
      </w:r>
      <w:r>
        <w:rPr>
          <w:color w:val="000000"/>
          <w:rFonts w:hint="default" w:ascii="STKaiti" w:hAnsi="STKaiti" w:eastAsia="STKaiti" w:cs="Kaiti SC Regular"/>
          <w:sz w:val="24"/>
        </w:rPr>
        <w:t>，</w:t>
      </w:r>
      <w:r>
        <w:rPr>
          <w:color w:val="000000"/>
          <w:rFonts w:hint="eastAsia" w:ascii="STKaiti" w:hAnsi="STKaiti" w:eastAsia="STKaiti" w:cs="Kaiti SC Regular"/>
          <w:sz w:val="24"/>
        </w:rPr>
        <w:t>年化收益</w:t>
      </w:r>
      <w:r>
        <w:rPr>
          <w:color w:val="000000"/>
          <w:rFonts w:hint="default" w:ascii="STKaiti" w:hAnsi="STKaiti" w:eastAsia="STKaiti" w:cs="Kaiti SC Regular"/>
          <w:sz w:val="24"/>
        </w:rPr>
        <w:t>-9.02</w:t>
      </w:r>
      <w:r>
        <w:rPr>
          <w:color w:val="000000"/>
          <w:rFonts w:hint="eastAsia" w:ascii="STKaiti" w:hAnsi="STKaiti" w:eastAsia="STKaiti" w:cs="Kaiti SC Regular"/>
          <w:sz w:val="24"/>
        </w:rPr>
        <w:t>%，最</w:t>
      </w:r>
      <w:r>
        <w:rPr>
          <w:b w:val="0"/>
          <w:color w:val="000000"/>
          <w:dstrike w:val="0"/>
          <w:i w:val="0"/>
          <w:kern w:val="2"/>
          <w:rFonts w:hint="default" w:ascii="STKaiti" w:hAnsi="STKaiti" w:eastAsia="STKaiti" w:cs="Kaiti SC Regular"/>
          <w:spacing w:val="0"/>
          <w:strike w:val="0"/>
          <w:sz w:val="24"/>
          <w:szCs w:val="24"/>
          <w:u w:val="none"/>
          <w:vertAlign w:val="baseline"/>
          <w:w w:val="100"/>
        </w:rPr>
        <w:t xml:space="preserve">大回撤16.35%，超额最大回撤 9.82%</w:t>
      </w:r>
      <w:r>
        <w:rPr>
          <w:color w:val="000000"/>
          <w:rFonts w:hint="eastAsia" w:ascii="STKaiti" w:hAnsi="STKaiti" w:eastAsia="STKaiti" w:cs="Kaiti SC Regular"/>
          <w:sz w:val="24"/>
        </w:rPr>
        <w:t>，发生在202</w:t>
      </w:r>
      <w:r>
        <w:rPr>
          <w:color w:val="000000"/>
          <w:rFonts w:hint="default" w:ascii="STKaiti" w:hAnsi="STKaiti" w:eastAsia="STKaiti" w:cs="Kaiti SC Regular"/>
          <w:sz w:val="24"/>
        </w:rPr>
        <w:t>2</w:t>
      </w:r>
      <w:r>
        <w:rPr>
          <w:color w:val="000000"/>
          <w:rFonts w:hint="eastAsia" w:ascii="STKaiti" w:hAnsi="STKaiti" w:eastAsia="STKaiti" w:cs="Kaiti SC Regular"/>
          <w:sz w:val="24"/>
        </w:rPr>
        <w:t>年</w:t>
      </w:r>
      <w:r>
        <w:rPr>
          <w:color w:val="000000"/>
          <w:rFonts w:hint="default" w:ascii="STKaiti" w:hAnsi="STKaiti" w:eastAsia="STKaiti" w:cs="Kaiti SC Regular"/>
          <w:sz w:val="24"/>
        </w:rPr>
        <w:t xml:space="preserve">10 月</w:t>
      </w:r>
      <w:r>
        <w:rPr>
          <w:color w:val="000000"/>
          <w:rFonts w:hint="eastAsia" w:ascii="STKaiti" w:hAnsi="STKaiti" w:eastAsia="STKaiti" w:cs="Kaiti SC Regular"/>
          <w:sz w:val="24"/>
        </w:rPr>
        <w:t>，10个月后修复。近1年收益排名同策略前</w:t>
      </w:r>
      <w:r>
        <w:rPr>
          <w:color w:val="000000"/>
          <w:rFonts w:hint="default" w:ascii="STKaiti" w:hAnsi="STKaiti" w:eastAsia="STKaiti" w:cs="Kaiti SC Regular"/>
          <w:sz w:val="24"/>
        </w:rPr>
        <w:t>60</w:t>
      </w:r>
      <w:r>
        <w:rPr>
          <w:color w:val="000000"/>
          <w:rFonts w:hint="eastAsia" w:ascii="STKaiti" w:hAnsi="STKaiti" w:eastAsia="STKaiti" w:cs="Kaiti SC Regular"/>
          <w:sz w:val="24"/>
        </w:rPr>
        <w:t>%，</w:t>
      </w:r>
      <w:r>
        <w:rPr>
          <w:b w:val="0"/>
          <w:color w:val="000000"/>
          <w:dstrike w:val="0"/>
          <w:i w:val="0"/>
          <w:kern w:val="2"/>
          <w:rFonts w:hint="default" w:ascii="STKaiti" w:hAnsi="STKaiti" w:eastAsia="STKaiti" w:cs="Kaiti SC Regular"/>
          <w:spacing w:val="0"/>
          <w:strike w:val="0"/>
          <w:sz w:val="24"/>
          <w:szCs w:val="24"/>
          <w:u w:val="none"/>
          <w:vertAlign w:val="baseline"/>
          <w:w w:val="100"/>
        </w:rPr>
        <w:t xml:space="preserve">最大回撤排名前 78%，夏普排名前 55%</w:t>
      </w:r>
      <w:r>
        <w:rPr>
          <w:color w:val="000000"/>
          <w:rFonts w:hint="eastAsia" w:ascii="STKaiti" w:hAnsi="STKaiti" w:eastAsia="STKaiti" w:cs="Kaiti SC Regular"/>
          <w:sz w:val="24"/>
        </w:rPr>
        <w:t>。</w:t>
      </w:r>
    </w:p>
    <w:p>
      <w:pPr>
        <w:jc w:val="left"/>
        <w:numPr>
          <w:ilvl w:val="0"/>
          <w:numId w:val="5"/>
        </w:numPr>
        <w:rPr>
          <w:rFonts w:ascii="STKaiti" w:hAnsi="STKaiti" w:eastAsia="STKaiti" w:cs="Kaiti SC Regular"/>
          <w:sz w:val="24"/>
        </w:rPr>
      </w:pPr>
      <w:r>
        <w:rPr>
          <w:color w:val="000000"/>
          <w:rFonts w:hint="eastAsia" w:ascii="STKaiti" w:hAnsi="STKaiti" w:eastAsia="STKaiti" w:cs="Kaiti SC Regular"/>
          <w:sz w:val="24"/>
        </w:rPr>
        <w:t>复盘及归因：</w:t>
      </w:r>
      <w:r>
        <w:rPr>
          <w:color w:val="000000"/>
          <w:rFonts w:hint="eastAsia" w:ascii="STKaiti" w:hAnsi="STKaiti" w:eastAsia="STKaiti" w:cs="Kaiti SC Regular"/>
          <w:sz w:val="24"/>
        </w:rPr>
        <w:t>产品成立初期模型较为简单</w:t>
      </w:r>
      <w:r>
        <w:rPr>
          <w:color w:val="000000"/>
          <w:rFonts w:hint="default" w:ascii="STKaiti" w:hAnsi="STKaiti" w:eastAsia="STKaiti" w:cs="Kaiti SC Regular"/>
          <w:sz w:val="24"/>
        </w:rPr>
        <w:t>，因子数和子模型较少，风格暴露主要在成长风格上，产生了较大的回撤</w:t>
      </w:r>
      <w:r>
        <w:rPr>
          <w:color w:val="000000"/>
          <w:rFonts w:hint="eastAsia" w:ascii="STKaiti" w:hAnsi="STKaiti" w:eastAsia="STKaiti" w:cs="Kaiti SC Regular"/>
          <w:sz w:val="24"/>
        </w:rPr>
        <w:t xml:space="preserve">。现有模型在 2</w:t>
      </w:r>
      <w:r>
        <w:rPr>
          <w:color w:val="000000"/>
          <w:rFonts w:hint="default" w:ascii="STKaiti" w:hAnsi="STKaiti" w:eastAsia="STKaiti" w:cs="Kaiti SC Regular"/>
          <w:sz w:val="24"/>
        </w:rPr>
        <w:t xml:space="preserve">022 年底进行迭代，2023 年初上线。若从迭代后的 2023 年 1 月 1 日开始观测净值，可以看到超额稳定性有明显改善，超额最大回撤仅3.62%，修复时间也仅有 1 个月。</w:t>
      </w:r>
    </w:p>
    <w:p>
      <w:pPr>
        <w:ind w:left="846"/>
        <w:jc w:val="left"/>
        <w:rPr>
          <w:color w:val="000000"/>
          <w:rFonts w:hint="default" w:ascii="STKaiti" w:hAnsi="STKaiti" w:eastAsia="STKaiti" w:cs="Kaiti SC Regular"/>
          <w:sz w:val="24"/>
        </w:rPr>
      </w:pPr>
    </w:p>
    <w:p>
      <w:pPr>
        <w:ind w:firstLine="420" w:left="420"/>
        <w:jc w:val="left"/>
        <w:rPr>
          <w:rFonts w:ascii="STKaiti" w:hAnsi="STKaiti" w:eastAsia="STKaiti" w:cs="Kaiti SC Regular"/>
          <w:sz w:val="24"/>
        </w:rPr>
      </w:pPr>
      <w:r>
        <w:rPr>
          <w:color w:val="000000"/>
          <w:rFonts w:hint="eastAsia" w:ascii="STKaiti" w:hAnsi="STKaiti" w:eastAsia="STKaiti" w:cs="Kaiti SC Regular"/>
          <w:sz w:val="24"/>
        </w:rPr>
        <w:t>中性代表产品</w:t>
      </w:r>
      <w:r>
        <w:rPr>
          <w:b w:val="0"/>
          <w:color w:val="000000"/>
          <w:dstrike w:val="0"/>
          <w:i w:val="0"/>
          <w:kern w:val="2"/>
          <w:rFonts w:hint="eastAsia" w:ascii="STKaiti" w:hAnsi="STKaiti" w:eastAsia="STKaiti" w:cs="Kaiti SC Regular"/>
          <w:spacing w:val="0"/>
          <w:strike w:val="0"/>
          <w:sz w:val="24"/>
          <w:szCs w:val="24"/>
          <w:u w:val="none"/>
          <w:vertAlign w:val="baseline"/>
          <w:w w:val="100"/>
        </w:rPr>
        <w:t>象上中性一号</w:t>
      </w:r>
      <w:r>
        <w:rPr>
          <w:b w:val="0"/>
          <w:color w:val="000000"/>
          <w:dstrike w:val="0"/>
          <w:i w:val="0"/>
          <w:kern w:val="2"/>
          <w:rFonts w:hint="default" w:ascii="STKaiti" w:hAnsi="STKaiti" w:eastAsia="STKaiti" w:cs="Kaiti SC Regular"/>
          <w:spacing w:val="0"/>
          <w:strike w:val="0"/>
          <w:sz w:val="24"/>
          <w:szCs w:val="24"/>
          <w:u w:val="none"/>
          <w:vertAlign w:val="baseline"/>
          <w:w w:val="100"/>
        </w:rPr>
        <w:t xml:space="preserve">，运行2 年，规模 1000 万，为目前唯一披露净值的股票市场中性产品</w:t>
      </w:r>
      <w:r>
        <w:rPr>
          <w:color w:val="000000"/>
          <w:rFonts w:hint="eastAsia" w:ascii="STKaiti" w:hAnsi="STKaiti" w:eastAsia="STKaiti" w:cs="Kaiti SC Regular"/>
          <w:sz w:val="24"/>
        </w:rPr>
        <w:t>。</w:t>
      </w:r>
    </w:p>
    <w:p>
      <w:pPr>
        <w:jc w:val="left"/>
        <w:numPr>
          <w:ilvl w:val="0"/>
          <w:numId w:val="5"/>
        </w:numPr>
        <w:rPr>
          <w:rFonts w:ascii="STKaiti" w:hAnsi="STKaiti" w:eastAsia="STKaiti" w:cs="Kaiti SC Regular"/>
          <w:sz w:val="24"/>
        </w:rPr>
      </w:pPr>
      <w:r>
        <w:rPr>
          <w:color w:val="000000"/>
          <w:rFonts w:hint="eastAsia" w:ascii="STKaiti" w:hAnsi="STKaiti" w:eastAsia="STKaiti" w:cs="Kaiti SC Regular"/>
          <w:sz w:val="24"/>
        </w:rPr>
        <w:t>风险收益表现：累计收益</w:t>
      </w:r>
      <w:r>
        <w:rPr>
          <w:color w:val="000000"/>
          <w:rFonts w:hint="default" w:ascii="STKaiti" w:hAnsi="STKaiti" w:eastAsia="STKaiti" w:cs="Kaiti SC Regular"/>
          <w:sz w:val="24"/>
        </w:rPr>
        <w:t>11.95</w:t>
      </w:r>
      <w:r>
        <w:rPr>
          <w:color w:val="000000"/>
          <w:rFonts w:hint="eastAsia" w:ascii="STKaiti" w:hAnsi="STKaiti" w:eastAsia="STKaiti" w:cs="Kaiti SC Regular"/>
          <w:sz w:val="24"/>
        </w:rPr>
        <w:t>%，202</w:t>
      </w:r>
      <w:r>
        <w:rPr>
          <w:color w:val="000000"/>
          <w:rFonts w:hint="default" w:ascii="STKaiti" w:hAnsi="STKaiti" w:eastAsia="STKaiti" w:cs="Kaiti SC Regular"/>
          <w:sz w:val="24"/>
        </w:rPr>
        <w:t>3</w:t>
      </w:r>
      <w:r>
        <w:rPr>
          <w:color w:val="000000"/>
          <w:rFonts w:hint="eastAsia" w:ascii="STKaiti" w:hAnsi="STKaiti" w:eastAsia="STKaiti" w:cs="Kaiti SC Regular"/>
          <w:sz w:val="24"/>
        </w:rPr>
        <w:t>年收益为</w:t>
      </w:r>
      <w:r>
        <w:rPr>
          <w:color w:val="000000"/>
          <w:rFonts w:hint="default" w:ascii="STKaiti" w:hAnsi="STKaiti" w:eastAsia="STKaiti" w:cs="Kaiti SC Regular"/>
          <w:sz w:val="24"/>
        </w:rPr>
        <w:t>10.11</w:t>
      </w:r>
      <w:r>
        <w:rPr>
          <w:color w:val="000000"/>
          <w:rFonts w:hint="eastAsia" w:ascii="STKaiti" w:hAnsi="STKaiti" w:eastAsia="STKaiti" w:cs="Kaiti SC Regular"/>
          <w:sz w:val="24"/>
        </w:rPr>
        <w:t>%</w:t>
      </w:r>
      <w:r>
        <w:rPr>
          <w:color w:val="000000"/>
          <w:rFonts w:hint="default" w:ascii="STKaiti" w:hAnsi="STKaiti" w:eastAsia="STKaiti" w:cs="Kaiti SC Regular"/>
          <w:sz w:val="24"/>
        </w:rPr>
        <w:t>，</w:t>
      </w:r>
      <w:r>
        <w:rPr>
          <w:color w:val="000000"/>
          <w:rFonts w:hint="eastAsia" w:ascii="STKaiti" w:hAnsi="STKaiti" w:eastAsia="STKaiti" w:cs="Kaiti SC Regular"/>
          <w:sz w:val="24"/>
        </w:rPr>
        <w:t>年化收益</w:t>
      </w:r>
      <w:r>
        <w:rPr>
          <w:color w:val="000000"/>
          <w:rFonts w:hint="default" w:ascii="STKaiti" w:hAnsi="STKaiti" w:eastAsia="STKaiti" w:cs="Kaiti SC Regular"/>
          <w:sz w:val="24"/>
        </w:rPr>
        <w:t>6.07</w:t>
      </w:r>
      <w:r>
        <w:rPr>
          <w:color w:val="000000"/>
          <w:rFonts w:hint="eastAsia" w:ascii="STKaiti" w:hAnsi="STKaiti" w:eastAsia="STKaiti" w:cs="Kaiti SC Regular"/>
          <w:sz w:val="24"/>
        </w:rPr>
        <w:t>%，</w:t>
      </w:r>
      <w:r>
        <w:rPr>
          <w:color w:val="000000"/>
          <w:rFonts w:hint="eastAsia" w:ascii="STKaiti" w:hAnsi="STKaiti" w:eastAsia="STKaiti" w:cs="Kaiti SC Regular"/>
          <w:sz w:val="24"/>
        </w:rPr>
        <w:t>最大回撤</w:t>
      </w:r>
      <w:r>
        <w:rPr>
          <w:color w:val="000000"/>
          <w:rFonts w:hint="default" w:ascii="STKaiti" w:hAnsi="STKaiti" w:eastAsia="STKaiti" w:cs="Kaiti SC Regular"/>
          <w:sz w:val="24"/>
        </w:rPr>
        <w:t>7.04</w:t>
      </w:r>
      <w:r>
        <w:rPr>
          <w:color w:val="000000"/>
          <w:rFonts w:hint="eastAsia" w:ascii="STKaiti" w:hAnsi="STKaiti" w:eastAsia="STKaiti" w:cs="Kaiti SC Regular"/>
          <w:sz w:val="24"/>
        </w:rPr>
        <w:t>%</w:t>
      </w:r>
      <w:r>
        <w:rPr>
          <w:color w:val="000000"/>
          <w:rFonts w:hint="eastAsia" w:ascii="STKaiti" w:hAnsi="STKaiti" w:eastAsia="STKaiti" w:cs="Kaiti SC Regular"/>
          <w:sz w:val="24"/>
        </w:rPr>
        <w:t>，发生在202</w:t>
      </w:r>
      <w:r>
        <w:rPr>
          <w:color w:val="000000"/>
          <w:rFonts w:hint="default" w:ascii="STKaiti" w:hAnsi="STKaiti" w:eastAsia="STKaiti" w:cs="Kaiti SC Regular"/>
          <w:sz w:val="24"/>
        </w:rPr>
        <w:t>2</w:t>
      </w:r>
      <w:r>
        <w:rPr>
          <w:color w:val="000000"/>
          <w:rFonts w:hint="eastAsia" w:ascii="STKaiti" w:hAnsi="STKaiti" w:eastAsia="STKaiti" w:cs="Kaiti SC Regular"/>
          <w:sz w:val="24"/>
        </w:rPr>
        <w:t>年</w:t>
      </w:r>
      <w:r>
        <w:rPr>
          <w:color w:val="000000"/>
          <w:rFonts w:hint="default" w:ascii="STKaiti" w:hAnsi="STKaiti" w:eastAsia="STKaiti" w:cs="Kaiti SC Regular"/>
          <w:sz w:val="24"/>
        </w:rPr>
        <w:t xml:space="preserve">11 月</w:t>
      </w:r>
      <w:r>
        <w:rPr>
          <w:color w:val="000000"/>
          <w:rFonts w:hint="eastAsia" w:ascii="STKaiti" w:hAnsi="STKaiti" w:eastAsia="STKaiti" w:cs="Kaiti SC Regular"/>
          <w:sz w:val="24"/>
        </w:rPr>
        <w:t>，半年后修复。近1年收益排名同策略前</w:t>
      </w:r>
      <w:r>
        <w:rPr>
          <w:color w:val="000000"/>
          <w:rFonts w:hint="default" w:ascii="STKaiti" w:hAnsi="STKaiti" w:eastAsia="STKaiti" w:cs="Kaiti SC Regular"/>
          <w:sz w:val="24"/>
        </w:rPr>
        <w:t>30</w:t>
      </w:r>
      <w:r>
        <w:rPr>
          <w:color w:val="000000"/>
          <w:rFonts w:hint="eastAsia" w:ascii="STKaiti" w:hAnsi="STKaiti" w:eastAsia="STKaiti" w:cs="Kaiti SC Regular"/>
          <w:sz w:val="24"/>
        </w:rPr>
        <w:t>%，</w:t>
      </w:r>
      <w:r>
        <w:rPr>
          <w:color w:val="000000"/>
          <w:rFonts w:hint="eastAsia" w:ascii="STKaiti" w:hAnsi="STKaiti" w:eastAsia="STKaiti" w:cs="Kaiti SC Regular"/>
          <w:sz w:val="24"/>
        </w:rPr>
        <w:t>最大回撤排名前</w:t>
      </w:r>
      <w:r>
        <w:rPr>
          <w:color w:val="000000"/>
          <w:rFonts w:hint="default" w:ascii="STKaiti" w:hAnsi="STKaiti" w:eastAsia="STKaiti" w:cs="Kaiti SC Regular"/>
          <w:sz w:val="24"/>
        </w:rPr>
        <w:t>69%</w:t>
      </w:r>
      <w:r>
        <w:rPr>
          <w:color w:val="000000"/>
          <w:rFonts w:hint="eastAsia" w:ascii="STKaiti" w:hAnsi="STKaiti" w:eastAsia="STKaiti" w:cs="Kaiti SC Regular"/>
          <w:sz w:val="24"/>
        </w:rPr>
        <w:t>，夏普排名前</w:t>
      </w:r>
      <w:r>
        <w:rPr>
          <w:color w:val="000000"/>
          <w:rFonts w:hint="default" w:ascii="STKaiti" w:hAnsi="STKaiti" w:eastAsia="STKaiti" w:cs="Kaiti SC Regular"/>
          <w:sz w:val="24"/>
        </w:rPr>
        <w:t>35</w:t>
      </w:r>
      <w:r>
        <w:rPr>
          <w:color w:val="000000"/>
          <w:rFonts w:hint="eastAsia" w:ascii="STKaiti" w:hAnsi="STKaiti" w:eastAsia="STKaiti" w:cs="Kaiti SC Regular"/>
          <w:sz w:val="24"/>
        </w:rPr>
        <w:t>%</w:t>
      </w:r>
      <w:r>
        <w:rPr>
          <w:color w:val="000000"/>
          <w:rFonts w:hint="eastAsia" w:ascii="STKaiti" w:hAnsi="STKaiti" w:eastAsia="STKaiti" w:cs="Kaiti SC Regular"/>
          <w:sz w:val="24"/>
        </w:rPr>
        <w:t>。</w:t>
      </w:r>
    </w:p>
    <w:p>
      <w:pPr>
        <w:jc w:val="left"/>
        <w:numPr>
          <w:ilvl w:val="0"/>
          <w:numId w:val="5"/>
        </w:numPr>
        <w:rPr>
          <w:rFonts w:ascii="STKaiti" w:hAnsi="STKaiti" w:eastAsia="STKaiti" w:cs="Kaiti SC Regular"/>
          <w:sz w:val="24"/>
        </w:rPr>
      </w:pPr>
      <w:r>
        <w:rPr>
          <w:color w:val="000000"/>
          <w:rFonts w:hint="eastAsia" w:ascii="STKaiti" w:hAnsi="STKaiti" w:eastAsia="STKaiti" w:cs="Kaiti SC Regular"/>
          <w:sz w:val="24"/>
        </w:rPr>
        <w:t xml:space="preserve">复盘及归因：产品最大在 2</w:t>
      </w:r>
      <w:r>
        <w:rPr>
          <w:color w:val="000000"/>
          <w:rFonts w:hint="default" w:ascii="STKaiti" w:hAnsi="STKaiti" w:eastAsia="STKaiti" w:cs="Kaiti SC Regular"/>
          <w:sz w:val="24"/>
        </w:rPr>
        <w:t xml:space="preserve">022 年 11 月回撤的原因与指增产品较为类似，由于多头端复制指增策略，模型过于简单，同时多头端过多暴露了成长风格，超额衰减，使用股指对冲后便产生了回撤</w:t>
      </w:r>
      <w:r>
        <w:rPr>
          <w:color w:val="000000"/>
          <w:rFonts w:hint="default" w:ascii="STKaiti" w:hAnsi="STKaiti" w:eastAsia="STKaiti" w:cs="Kaiti SC Regular"/>
          <w:sz w:val="24"/>
        </w:rPr>
        <w:t xml:space="preserve">。同样从 2023 年 1 月 1 日新策略上线后进行观察，风险收益表现有明显改善，最大回撤2.99%</w:t>
      </w:r>
    </w:p>
    <w:p>
      <w:pPr>
        <w:ind w:left="846"/>
        <w:jc w:val="left"/>
        <w:rPr>
          <w:rFonts w:ascii="STKaiti" w:hAnsi="STKaiti" w:eastAsia="STKaiti" w:cs="Kaiti SC Regular"/>
          <w:sz w:val="24"/>
        </w:rPr>
      </w:pPr>
    </w:p>
    <w:p>
      <w:pPr>
        <w:jc w:val="left"/>
        <w:rPr>
          <w:rFonts w:ascii="STKaiti" w:hAnsi="STKaiti" w:eastAsia="STKaiti" w:cs="Kaiti SC Regular"/>
          <w:sz w:val="24"/>
        </w:rPr>
      </w:pPr>
    </w:p>
    <w:p>
      <w:pPr>
        <w:jc w:val="left"/>
        <w:numPr>
          <w:ilvl w:val="0"/>
          <w:numId w:val="3"/>
        </w:numPr>
        <w:rPr>
          <w:rFonts w:ascii="STKaiti" w:hAnsi="STKaiti" w:eastAsia="STKaiti" w:cs="Kaiti SC Regular"/>
          <w:sz w:val="24"/>
        </w:rPr>
      </w:pPr>
      <w:r>
        <w:rPr>
          <w:rFonts w:hint="eastAsia" w:ascii="STKaiti" w:hAnsi="STKaiti" w:eastAsia="STKaiti" w:cs="Kaiti SC Regular"/>
          <w:sz w:val="24"/>
        </w:rPr>
        <w:t>其</w:t>
      </w:r>
      <w:r>
        <w:rPr>
          <w:rFonts w:hint="eastAsia" w:ascii="STKaiti" w:hAnsi="STKaiti" w:eastAsia="STKaiti" w:cs="Kaiti SC Regular"/>
          <w:sz w:val="24"/>
        </w:rPr>
        <w:t>他产品：</w:t>
      </w:r>
    </w:p>
    <w:p>
      <w:pPr>
        <w:ind w:firstLine="420" w:left="420"/>
        <w:jc w:val="left"/>
        <w:rPr>
          <w:rFonts w:ascii="STKaiti" w:hAnsi="STKaiti" w:eastAsia="STKaiti" w:cs="Kaiti SC Regular"/>
          <w:sz w:val="24"/>
        </w:rPr>
      </w:pPr>
      <w:r>
        <w:rPr>
          <w:rFonts w:hint="eastAsia" w:ascii="STKaiti" w:hAnsi="STKaiti" w:eastAsia="STKaiti" w:cs="Kaiti SC Regular"/>
          <w:sz w:val="24"/>
        </w:rPr>
        <w:t>无。</w:t>
      </w:r>
    </w:p>
    <w:p>
      <w:pPr>
        <w:jc w:val="left"/>
        <w:rPr>
          <w:rFonts w:ascii="STKaiti" w:hAnsi="STKaiti" w:eastAsia="STKaiti" w:cs="Kaiti SC Regular"/>
          <w:sz w:val="24"/>
        </w:rPr>
      </w:pPr>
    </w:p>
    <w:p>
      <w:pPr>
        <w:jc w:val="left"/>
        <w:rPr>
          <w:b w:val="1"/>
          <w:rFonts w:ascii="STKaiti" w:hAnsi="STKaiti" w:eastAsia="STKaiti" w:cs="Kaiti SC Regular"/>
        </w:rPr>
      </w:pPr>
      <w:r>
        <w:rPr>
          <w:b w:val="1"/>
          <w:rFonts w:hint="eastAsia" w:ascii="STKaiti" w:hAnsi="STKaiti" w:eastAsia="STKaiti" w:cs="Kaiti SC Regular"/>
          <w:sz w:val="24"/>
        </w:rPr>
        <w:t>结论</w:t>
      </w:r>
    </w:p>
    <w:p>
      <w:pPr>
        <w:ind w:firstLine="420"/>
        <w:jc w:val="left"/>
        <w:rPr>
          <w:color w:val="000000"/>
          <w:rFonts w:ascii="STKaiti" w:hAnsi="STKaiti" w:eastAsia="STKaiti" w:cs="Kaiti SC Regular"/>
          <w:sz w:val="24"/>
          <w:szCs w:val="32"/>
        </w:rPr>
      </w:pPr>
      <w:r>
        <w:rPr>
          <w:color w:val="000000"/>
          <w:rFonts w:hint="eastAsia" w:ascii="STKaiti" w:hAnsi="STKaiti" w:eastAsia="STKaiti" w:cs="Kaiti SC Regular"/>
          <w:sz w:val="24"/>
          <w:szCs w:val="32"/>
        </w:rPr>
        <w:t>公司成立</w:t>
      </w:r>
      <w:r>
        <w:rPr>
          <w:color w:val="000000"/>
          <w:rFonts w:hint="default" w:ascii="STKaiti" w:hAnsi="STKaiti" w:eastAsia="STKaiti" w:cs="Kaiti SC Regular"/>
          <w:sz w:val="24"/>
          <w:szCs w:val="32"/>
        </w:rPr>
        <w:t>3</w:t>
      </w:r>
      <w:r>
        <w:rPr>
          <w:color w:val="000000"/>
          <w:rFonts w:hint="eastAsia" w:ascii="STKaiti" w:hAnsi="STKaiti" w:eastAsia="STKaiti" w:cs="Kaiti SC Regular"/>
          <w:sz w:val="24"/>
          <w:szCs w:val="32"/>
        </w:rPr>
        <w:t>年，可追溯业绩</w:t>
      </w:r>
      <w:r>
        <w:rPr>
          <w:color w:val="000000"/>
          <w:rFonts w:hint="default" w:ascii="STKaiti" w:hAnsi="STKaiti" w:eastAsia="STKaiti" w:cs="Kaiti SC Regular"/>
          <w:sz w:val="24"/>
          <w:szCs w:val="32"/>
        </w:rPr>
        <w:t>2</w:t>
      </w:r>
      <w:r>
        <w:rPr>
          <w:color w:val="000000"/>
          <w:rFonts w:hint="eastAsia" w:ascii="STKaiti" w:hAnsi="STKaiti" w:eastAsia="STKaiti" w:cs="Kaiti SC Regular"/>
          <w:sz w:val="24"/>
          <w:szCs w:val="32"/>
        </w:rPr>
        <w:t>年，管理规模</w:t>
      </w:r>
      <w:r>
        <w:rPr>
          <w:color w:val="000000"/>
          <w:rFonts w:hint="default" w:ascii="STKaiti" w:hAnsi="STKaiti" w:eastAsia="STKaiti" w:cs="Kaiti SC Regular"/>
          <w:sz w:val="24"/>
          <w:szCs w:val="32"/>
        </w:rPr>
        <w:t>2</w:t>
      </w:r>
      <w:r>
        <w:rPr>
          <w:color w:val="000000"/>
          <w:rFonts w:hint="eastAsia" w:ascii="STKaiti" w:hAnsi="STKaiti" w:eastAsia="STKaiti" w:cs="Kaiti SC Regular"/>
          <w:sz w:val="24"/>
          <w:szCs w:val="32"/>
        </w:rPr>
        <w:t xml:space="preserve">亿，主要做中证 5</w:t>
      </w:r>
      <w:r>
        <w:rPr>
          <w:color w:val="000000"/>
          <w:rFonts w:hint="default" w:ascii="STKaiti" w:hAnsi="STKaiti" w:eastAsia="STKaiti" w:cs="Kaiti SC Regular"/>
          <w:sz w:val="24"/>
          <w:szCs w:val="32"/>
        </w:rPr>
        <w:t xml:space="preserve">00 指数增强和市场中性策略</w:t>
      </w:r>
      <w:r>
        <w:rPr>
          <w:color w:val="000000"/>
          <w:rFonts w:hint="eastAsia" w:ascii="STKaiti" w:hAnsi="STKaiti" w:eastAsia="STKaiti" w:cs="Kaiti SC Regular"/>
          <w:sz w:val="24"/>
          <w:szCs w:val="32"/>
        </w:rPr>
        <w:t>。资金来源方面以自有资金为主</w:t>
      </w:r>
      <w:r>
        <w:rPr>
          <w:color w:val="000000"/>
          <w:rFonts w:hint="default" w:ascii="STKaiti" w:hAnsi="STKaiti" w:eastAsia="STKaiti" w:cs="Kaiti SC Regular"/>
          <w:sz w:val="24"/>
          <w:szCs w:val="32"/>
        </w:rPr>
        <w:t>，因此管理人不做过多的净值披露，目前也没有很强的募资需求。</w:t>
      </w:r>
      <w:r>
        <w:rPr>
          <w:color w:val="000000"/>
          <w:rFonts w:hint="eastAsia" w:ascii="STKaiti" w:hAnsi="STKaiti" w:eastAsia="STKaiti" w:cs="Kaiti SC Regular"/>
          <w:sz w:val="24"/>
          <w:szCs w:val="32"/>
        </w:rPr>
        <w:t>团队背景方面</w:t>
      </w:r>
      <w:r>
        <w:rPr>
          <w:color w:val="000000"/>
          <w:rFonts w:hint="default" w:ascii="STKaiti" w:hAnsi="STKaiti" w:eastAsia="STKaiti" w:cs="Kaiti SC Regular"/>
          <w:sz w:val="24"/>
          <w:szCs w:val="32"/>
        </w:rPr>
        <w:t>，</w:t>
      </w:r>
      <w:r>
        <w:rPr>
          <w:color w:val="000000"/>
          <w:rFonts w:hint="eastAsia" w:ascii="STKaiti" w:hAnsi="STKaiti" w:eastAsia="STKaiti" w:cs="Kaiti SC Regular"/>
          <w:sz w:val="24"/>
          <w:szCs w:val="32"/>
        </w:rPr>
        <w:t>可参考信息不多，人员规模和管理规模较匹配。策略早期不论是因子还是子策略均较为简单</w:t>
      </w:r>
      <w:r>
        <w:rPr>
          <w:color w:val="000000"/>
          <w:rFonts w:hint="default" w:ascii="STKaiti" w:hAnsi="STKaiti" w:eastAsia="STKaiti" w:cs="Kaiti SC Regular"/>
          <w:sz w:val="24"/>
          <w:szCs w:val="32"/>
        </w:rPr>
        <w:t xml:space="preserve">，因此在 2023 年之前中性和指增产品均表现不佳，但在 2023 年初策略迭代后有明显改善，但从策略逻辑上来看，目前的因子组合和子策略组合过往历史表现占有较高的权重，容易产生过拟合问题，可以持续观察后续策略表现</w:t>
      </w:r>
      <w:r>
        <w:rPr>
          <w:color w:val="000000"/>
          <w:rFonts w:hint="eastAsia" w:ascii="STKaiti" w:hAnsi="STKaiti" w:eastAsia="STKaiti" w:cs="Kaiti SC Regular"/>
          <w:sz w:val="24"/>
          <w:szCs w:val="32"/>
        </w:rPr>
        <w:t>。</w:t>
      </w:r>
    </w:p>
    <w:p>
      <w:pPr>
        <w:ind w:firstLine="420"/>
        <w:jc w:val="left"/>
        <w:rPr>
          <w:color w:val="000000"/>
          <w:rFonts w:hint="eastAsia" w:ascii="STKaiti" w:hAnsi="STKaiti" w:eastAsia="STKaiti" w:cs="Kaiti SC Regular"/>
          <w:sz w:val="24"/>
          <w:szCs w:val="32"/>
        </w:rPr>
      </w:pPr>
      <w:r>
        <w:rPr>
          <w:color w:val="000000"/>
          <w:rFonts w:hint="eastAsia" w:ascii="STKaiti" w:hAnsi="STKaiti" w:eastAsia="STKaiti" w:cs="Kaiti SC Regular"/>
          <w:sz w:val="24"/>
          <w:szCs w:val="32"/>
        </w:rPr>
        <w:t>综上，建议</w:t>
      </w:r>
      <w:r>
        <w:rPr>
          <w:color w:val="000000"/>
          <w:rFonts w:hint="eastAsia" w:ascii="STKaiti" w:hAnsi="STKaiti" w:eastAsia="STKaiti" w:cs="Kaiti SC Regular"/>
          <w:sz w:val="24"/>
          <w:szCs w:val="32"/>
        </w:rPr>
        <w:t>给予</w:t>
      </w:r>
      <w:r>
        <w:rPr>
          <w:color w:val="000000"/>
          <w:rFonts w:hint="eastAsia" w:ascii="STKaiti" w:hAnsi="STKaiti" w:eastAsia="STKaiti" w:cs="Kaiti SC Regular"/>
          <w:sz w:val="24"/>
          <w:szCs w:val="32"/>
        </w:rPr>
        <w:t>B评级。</w:t>
      </w:r>
    </w:p>
    <w:p>
      <w:pPr>
        <w:jc w:val="left"/>
        <w:rPr>
          <w:color w:val="000000"/>
          <w:rFonts w:hint="eastAsia" w:ascii="STKaiti" w:hAnsi="STKaiti" w:eastAsia="STKaiti" w:cs="Kaiti SC Regular"/>
          <w:sz w:val="24"/>
          <w:szCs w:val="32"/>
        </w:rPr>
      </w:pPr>
    </w:p>
    <w:p>
      <w:pPr>
        <w:jc w:val="left"/>
        <w:rPr>
          <w:color w:val="000000"/>
          <w:rFonts w:hint="default" w:ascii="STKaiti" w:hAnsi="STKaiti" w:eastAsia="STKaiti" w:cs="Kaiti SC Regular"/>
          <w:sz w:val="24"/>
          <w:szCs w:val="32"/>
        </w:rPr>
      </w:pPr>
      <w:r>
        <w:rPr>
          <w:color w:val="000000"/>
          <w:rFonts w:hint="eastAsia" w:ascii="STKaiti" w:hAnsi="STKaiti" w:eastAsia="STKaiti" w:cs="Kaiti SC Regular"/>
          <w:sz w:val="24"/>
          <w:szCs w:val="32"/>
        </w:rPr>
        <w:t>潜在顾虑</w:t>
      </w:r>
      <w:r>
        <w:rPr>
          <w:color w:val="000000"/>
          <w:rFonts w:hint="default" w:ascii="STKaiti" w:hAnsi="STKaiti" w:eastAsia="STKaiti" w:cs="Kaiti SC Regular"/>
          <w:sz w:val="24"/>
          <w:szCs w:val="32"/>
        </w:rPr>
        <w:t>：</w:t>
      </w:r>
    </w:p>
    <w:p>
      <w:pPr>
        <w:ind w:firstLineChars="0"/>
        <w:jc w:val="left"/>
        <w:numPr>
          <w:ilvl w:val="0"/>
          <w:numId w:val="1322"/>
        </w:numPr>
        <w:pStyle w:val="22"/>
        <w:rPr>
          <w:color w:val="000000"/>
          <w:rFonts w:ascii="STKaiti" w:hAnsi="STKaiti" w:eastAsia="STKaiti" w:cs="Kaiti SC Regular"/>
          <w:sz w:val="24"/>
          <w:szCs w:val="32"/>
        </w:rPr>
      </w:pPr>
      <w:r>
        <w:rPr>
          <w:color w:val="000000"/>
          <w:rFonts w:hint="default" w:ascii="STKaiti" w:hAnsi="STKaiti" w:eastAsia="STKaiti" w:cs="Kaiti SC Regular"/>
          <w:sz w:val="24"/>
          <w:szCs w:val="32"/>
        </w:rPr>
        <w:t>策略虽经过迭代，但</w:t>
      </w:r>
      <w:r>
        <w:rPr>
          <w:color w:val="000000"/>
          <w:rFonts w:hint="default" w:ascii="STKaiti" w:hAnsi="STKaiti" w:eastAsia="STKaiti" w:cs="Kaiti SC Regular"/>
          <w:sz w:val="24"/>
          <w:szCs w:val="32"/>
        </w:rPr>
        <w:t>目前的因子组合和子策略组合过往历史表现占有较高的权重，容易产生过拟合问题</w:t>
      </w:r>
    </w:p>
    <w:p>
      <w:pPr>
        <w:ind w:firstLineChars="0"/>
        <w:jc w:val="left"/>
        <w:numPr>
          <w:ilvl w:val="0"/>
          <w:numId w:val="1322"/>
        </w:numPr>
        <w:pStyle w:val="22"/>
        <w:rPr>
          <w:color w:val="000000"/>
          <w:rFonts w:ascii="STKaiti" w:hAnsi="STKaiti" w:eastAsia="STKaiti" w:cs="Kaiti SC Regular"/>
          <w:sz w:val="24"/>
          <w:szCs w:val="32"/>
        </w:rPr>
      </w:pPr>
      <w:r>
        <w:rPr>
          <w:color w:val="000000"/>
          <w:rFonts w:hint="default" w:ascii="STKaiti" w:hAnsi="STKaiti" w:eastAsia="STKaiti" w:cs="Kaiti SC Regular"/>
          <w:sz w:val="24"/>
          <w:szCs w:val="32"/>
        </w:rPr>
        <w:t xml:space="preserve">目前舆情系统以及 T0 交易系统都为基于第三方系统，尤其是舆情系统涉及到另类因子的挖掘和获取，可能会产生与市场上另类因子同质性较高的问题</w:t>
      </w:r>
    </w:p>
    <w:sectPr>
      <w:cols w:space="720"/>
      <w:docGrid w:linePitch="312" w:type="lines"/>
      <w:pgMar w:top="1440" w:right="1800" w:bottom="1440" w:left="1800" w:header="851" w:footer="992" w:gutter="0"/>
      <w:pgSz w:h="16838" w:w="11906"/>
    </w:sectPr>
  </w:body>
</w:document>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w:footnote w:type="separator" w:id="-1">
    <w:p>
      <w:pPr/>
      <w:r>
        <w:rPr/>
      </w:r>
    </w:p>
  </w:footnote>
  <w:footnote w:type="continuationSeparator" w:id="0">
    <w:p>
      <w:pPr/>
      <w:r>
        <w:rP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w:abstractNum w:abstractNumId="1" w15:restartNumberingAfterBreak="0">
    <w:lvl w:ilvl="0">
      <w:start w:val="1"/>
      <w:numFmt w:val="bullet"/>
      <w:isLgl w:val="0"/>
      <w:suff w:val="tab"/>
      <w:lvlText w:val="-"/>
      <w:lvlJc w:val="left"/>
      <w:pPr>
        <w:ind w:hanging="360" w:left="846"/>
      </w:pPr>
      <w:rPr>
        <w:rFonts w:hint="default" w:ascii="Calibri" w:hAnsi="Calibri" w:eastAsia="宋体" w:cs="Calibri"/>
      </w:rPr>
    </w:lvl>
    <w:lvl w:ilvl="1">
      <w:start w:val="1"/>
      <w:numFmt w:val="bullet"/>
      <w:isLgl w:val="0"/>
      <w:suff w:val="tab"/>
      <w:lvlText w:val=""/>
      <w:lvlJc w:val="left"/>
      <w:pPr>
        <w:ind w:hanging="420" w:left="1326"/>
      </w:pPr>
      <w:rPr>
        <w:rFonts w:hint="default" w:ascii="Wingdings" w:hAnsi="Wingdings"/>
      </w:rPr>
    </w:lvl>
    <w:lvl w:ilvl="2">
      <w:start w:val="1"/>
      <w:numFmt w:val="bullet"/>
      <w:isLgl w:val="0"/>
      <w:suff w:val="tab"/>
      <w:lvlText w:val=""/>
      <w:lvlJc w:val="left"/>
      <w:pPr>
        <w:ind w:hanging="420" w:left="1746"/>
      </w:pPr>
      <w:rPr>
        <w:rFonts w:hint="default" w:ascii="Wingdings" w:hAnsi="Wingdings"/>
      </w:rPr>
    </w:lvl>
    <w:lvl w:ilvl="3">
      <w:start w:val="1"/>
      <w:numFmt w:val="bullet"/>
      <w:isLgl w:val="0"/>
      <w:suff w:val="tab"/>
      <w:lvlText w:val=""/>
      <w:lvlJc w:val="left"/>
      <w:pPr>
        <w:ind w:hanging="420" w:left="2166"/>
      </w:pPr>
      <w:rPr>
        <w:rFonts w:hint="default" w:ascii="Wingdings" w:hAnsi="Wingdings"/>
      </w:rPr>
    </w:lvl>
    <w:lvl w:ilvl="4">
      <w:start w:val="1"/>
      <w:numFmt w:val="bullet"/>
      <w:isLgl w:val="0"/>
      <w:suff w:val="tab"/>
      <w:lvlText w:val=""/>
      <w:lvlJc w:val="left"/>
      <w:pPr>
        <w:ind w:hanging="420" w:left="2586"/>
      </w:pPr>
      <w:rPr>
        <w:rFonts w:hint="default" w:ascii="Wingdings" w:hAnsi="Wingdings"/>
      </w:rPr>
    </w:lvl>
    <w:lvl w:ilvl="5">
      <w:start w:val="1"/>
      <w:numFmt w:val="bullet"/>
      <w:isLgl w:val="0"/>
      <w:suff w:val="tab"/>
      <w:lvlText w:val=""/>
      <w:lvlJc w:val="left"/>
      <w:pPr>
        <w:ind w:hanging="420" w:left="3006"/>
      </w:pPr>
      <w:rPr>
        <w:rFonts w:hint="default" w:ascii="Wingdings" w:hAnsi="Wingdings"/>
      </w:rPr>
    </w:lvl>
    <w:lvl w:ilvl="6">
      <w:start w:val="1"/>
      <w:numFmt w:val="bullet"/>
      <w:isLgl w:val="0"/>
      <w:suff w:val="tab"/>
      <w:lvlText w:val=""/>
      <w:lvlJc w:val="left"/>
      <w:pPr>
        <w:ind w:hanging="420" w:left="3426"/>
      </w:pPr>
      <w:rPr>
        <w:rFonts w:hint="default" w:ascii="Wingdings" w:hAnsi="Wingdings"/>
      </w:rPr>
    </w:lvl>
    <w:lvl w:ilvl="7">
      <w:start w:val="1"/>
      <w:numFmt w:val="bullet"/>
      <w:isLgl w:val="0"/>
      <w:suff w:val="tab"/>
      <w:lvlText w:val=""/>
      <w:lvlJc w:val="left"/>
      <w:pPr>
        <w:ind w:hanging="420" w:left="3846"/>
      </w:pPr>
      <w:rPr>
        <w:rFonts w:hint="default" w:ascii="Wingdings" w:hAnsi="Wingdings"/>
      </w:rPr>
    </w:lvl>
    <w:lvl w:ilvl="8">
      <w:start w:val="1"/>
      <w:numFmt w:val="bullet"/>
      <w:isLgl w:val="0"/>
      <w:suff w:val="tab"/>
      <w:lvlText w:val=""/>
      <w:lvlJc w:val="left"/>
      <w:pPr>
        <w:ind w:hanging="420" w:left="4266"/>
      </w:pPr>
      <w:rPr>
        <w:rFonts w:hint="default" w:ascii="Wingdings" w:hAnsi="Wingdings"/>
      </w:rPr>
    </w:lvl>
  </w:abstractNum>
  <w:abstractNum w:abstractNumId="1" w15:restartNumberingAfterBreak="0">
    <w:lvl w:ilvl="0">
      <w:numFmt w:val="bullet"/>
      <w:suff w:val="tab"/>
      <w:lvlText w:val="-"/>
      <w:lvlJc w:val="left"/>
      <w:pPr>
        <w:ind w:hanging="360" w:left="846"/>
      </w:pPr>
      <w:rPr>
        <w:rFonts w:hint="default" w:ascii="Calibri" w:hAnsi="Calibri" w:eastAsia="宋体" w:cs="Calibri"/>
      </w:rPr>
    </w:lvl>
    <w:lvl w:ilvl="1">
      <w:start w:val="1"/>
      <w:numFmt w:val="bullet"/>
      <w:suff w:val="tab"/>
      <w:lvlText w:val=""/>
      <w:lvlJc w:val="left"/>
      <w:pPr>
        <w:ind w:hanging="420" w:left="1326"/>
      </w:pPr>
      <w:rPr>
        <w:rFonts w:hint="default" w:ascii="Wingdings" w:hAnsi="Wingdings"/>
      </w:rPr>
    </w:lvl>
    <w:lvl w:ilvl="2">
      <w:start w:val="1"/>
      <w:numFmt w:val="bullet"/>
      <w:suff w:val="tab"/>
      <w:lvlText w:val=""/>
      <w:lvlJc w:val="left"/>
      <w:pPr>
        <w:ind w:hanging="420" w:left="1746"/>
      </w:pPr>
      <w:rPr>
        <w:rFonts w:hint="default" w:ascii="Wingdings" w:hAnsi="Wingdings"/>
      </w:rPr>
    </w:lvl>
    <w:lvl w:ilvl="3">
      <w:start w:val="1"/>
      <w:numFmt w:val="bullet"/>
      <w:suff w:val="tab"/>
      <w:lvlText w:val=""/>
      <w:lvlJc w:val="left"/>
      <w:pPr>
        <w:ind w:hanging="420" w:left="2166"/>
      </w:pPr>
      <w:rPr>
        <w:rFonts w:hint="default" w:ascii="Wingdings" w:hAnsi="Wingdings"/>
      </w:rPr>
    </w:lvl>
    <w:lvl w:ilvl="4">
      <w:start w:val="1"/>
      <w:numFmt w:val="bullet"/>
      <w:suff w:val="tab"/>
      <w:lvlText w:val=""/>
      <w:lvlJc w:val="left"/>
      <w:pPr>
        <w:ind w:hanging="420" w:left="2586"/>
      </w:pPr>
      <w:rPr>
        <w:rFonts w:hint="default" w:ascii="Wingdings" w:hAnsi="Wingdings"/>
      </w:rPr>
    </w:lvl>
    <w:lvl w:ilvl="5">
      <w:start w:val="1"/>
      <w:numFmt w:val="bullet"/>
      <w:suff w:val="tab"/>
      <w:lvlText w:val=""/>
      <w:lvlJc w:val="left"/>
      <w:pPr>
        <w:ind w:hanging="420" w:left="3006"/>
      </w:pPr>
      <w:rPr>
        <w:rFonts w:hint="default" w:ascii="Wingdings" w:hAnsi="Wingdings"/>
      </w:rPr>
    </w:lvl>
    <w:lvl w:ilvl="6">
      <w:start w:val="1"/>
      <w:numFmt w:val="bullet"/>
      <w:suff w:val="tab"/>
      <w:lvlText w:val=""/>
      <w:lvlJc w:val="left"/>
      <w:pPr>
        <w:ind w:hanging="420" w:left="3426"/>
      </w:pPr>
      <w:rPr>
        <w:rFonts w:hint="default" w:ascii="Wingdings" w:hAnsi="Wingdings"/>
      </w:rPr>
    </w:lvl>
    <w:lvl w:ilvl="7">
      <w:start w:val="1"/>
      <w:numFmt w:val="bullet"/>
      <w:suff w:val="tab"/>
      <w:lvlText w:val=""/>
      <w:lvlJc w:val="left"/>
      <w:pPr>
        <w:ind w:hanging="420" w:left="3846"/>
      </w:pPr>
      <w:rPr>
        <w:rFonts w:hint="default" w:ascii="Wingdings" w:hAnsi="Wingdings"/>
      </w:rPr>
    </w:lvl>
    <w:lvl w:ilvl="8">
      <w:start w:val="1"/>
      <w:numFmt w:val="bullet"/>
      <w:suff w:val="tab"/>
      <w:lvlText w:val=""/>
      <w:lvlJc w:val="left"/>
      <w:pPr>
        <w:ind w:hanging="420" w:left="4266"/>
      </w:pPr>
      <w:rPr>
        <w:rFonts w:hint="default" w:ascii="Wingdings" w:hAnsi="Wingdings"/>
      </w:rPr>
    </w:lvl>
  </w:abstractNum>
  <w:abstractNum w:abstractNumId="3" w15:restartNumberingAfterBreak="0">
    <w:lvl w:ilvl="0">
      <w:start w:val="1"/>
      <w:numFmt w:val="bullet"/>
      <w:isLgl w:val="0"/>
      <w:suff w:val="tab"/>
      <w:lvlText w:val="-"/>
      <w:lvlJc w:val="left"/>
      <w:pPr>
        <w:ind w:hanging="360" w:left="846"/>
      </w:pPr>
      <w:rPr>
        <w:rFonts w:hint="default" w:ascii="Calibri" w:hAnsi="Calibri" w:eastAsia="宋体" w:cs="Calibri"/>
      </w:rPr>
    </w:lvl>
    <w:lvl w:ilvl="1">
      <w:start w:val="1"/>
      <w:numFmt w:val="bullet"/>
      <w:isLgl w:val="0"/>
      <w:suff w:val="tab"/>
      <w:lvlText w:val=""/>
      <w:lvlJc w:val="left"/>
      <w:pPr>
        <w:ind w:hanging="420" w:left="1326"/>
      </w:pPr>
      <w:rPr>
        <w:rFonts w:hint="default" w:ascii="Wingdings" w:hAnsi="Wingdings"/>
      </w:rPr>
    </w:lvl>
    <w:lvl w:ilvl="2">
      <w:start w:val="1"/>
      <w:numFmt w:val="bullet"/>
      <w:isLgl w:val="0"/>
      <w:suff w:val="tab"/>
      <w:lvlText w:val=""/>
      <w:lvlJc w:val="left"/>
      <w:pPr>
        <w:ind w:hanging="420" w:left="1746"/>
      </w:pPr>
      <w:rPr>
        <w:rFonts w:hint="default" w:ascii="Wingdings" w:hAnsi="Wingdings"/>
      </w:rPr>
    </w:lvl>
    <w:lvl w:ilvl="3">
      <w:start w:val="1"/>
      <w:numFmt w:val="bullet"/>
      <w:isLgl w:val="0"/>
      <w:suff w:val="tab"/>
      <w:lvlText w:val=""/>
      <w:lvlJc w:val="left"/>
      <w:pPr>
        <w:ind w:hanging="420" w:left="2166"/>
      </w:pPr>
      <w:rPr>
        <w:rFonts w:hint="default" w:ascii="Wingdings" w:hAnsi="Wingdings"/>
      </w:rPr>
    </w:lvl>
    <w:lvl w:ilvl="4">
      <w:start w:val="1"/>
      <w:numFmt w:val="bullet"/>
      <w:isLgl w:val="0"/>
      <w:suff w:val="tab"/>
      <w:lvlText w:val=""/>
      <w:lvlJc w:val="left"/>
      <w:pPr>
        <w:ind w:hanging="420" w:left="2586"/>
      </w:pPr>
      <w:rPr>
        <w:rFonts w:hint="default" w:ascii="Wingdings" w:hAnsi="Wingdings"/>
      </w:rPr>
    </w:lvl>
    <w:lvl w:ilvl="5">
      <w:start w:val="1"/>
      <w:numFmt w:val="bullet"/>
      <w:isLgl w:val="0"/>
      <w:suff w:val="tab"/>
      <w:lvlText w:val=""/>
      <w:lvlJc w:val="left"/>
      <w:pPr>
        <w:ind w:hanging="420" w:left="3006"/>
      </w:pPr>
      <w:rPr>
        <w:rFonts w:hint="default" w:ascii="Wingdings" w:hAnsi="Wingdings"/>
      </w:rPr>
    </w:lvl>
    <w:lvl w:ilvl="6">
      <w:start w:val="1"/>
      <w:numFmt w:val="bullet"/>
      <w:isLgl w:val="0"/>
      <w:suff w:val="tab"/>
      <w:lvlText w:val=""/>
      <w:lvlJc w:val="left"/>
      <w:pPr>
        <w:ind w:hanging="420" w:left="3426"/>
      </w:pPr>
      <w:rPr>
        <w:rFonts w:hint="default" w:ascii="Wingdings" w:hAnsi="Wingdings"/>
      </w:rPr>
    </w:lvl>
    <w:lvl w:ilvl="7">
      <w:start w:val="1"/>
      <w:numFmt w:val="bullet"/>
      <w:isLgl w:val="0"/>
      <w:suff w:val="tab"/>
      <w:lvlText w:val=""/>
      <w:lvlJc w:val="left"/>
      <w:pPr>
        <w:ind w:hanging="420" w:left="3846"/>
      </w:pPr>
      <w:rPr>
        <w:rFonts w:hint="default" w:ascii="Wingdings" w:hAnsi="Wingdings"/>
      </w:rPr>
    </w:lvl>
    <w:lvl w:ilvl="8">
      <w:start w:val="1"/>
      <w:numFmt w:val="bullet"/>
      <w:isLgl w:val="0"/>
      <w:suff w:val="tab"/>
      <w:lvlText w:val=""/>
      <w:lvlJc w:val="left"/>
      <w:pPr>
        <w:ind w:hanging="420" w:left="4266"/>
      </w:pPr>
      <w:rPr>
        <w:rFonts w:hint="default" w:ascii="Wingdings" w:hAnsi="Wingdings"/>
      </w:rPr>
    </w:lvl>
  </w:abstractNum>
  <w:abstractNum w:abstractNumId="2" w15:restartNumberingAfterBreak="0">
    <w:lvl w:ilvl="0">
      <w:start w:val="1"/>
      <w:numFmt w:val="bullet"/>
      <w:suff w:val="tab"/>
      <w:lvlText w:val=""/>
      <w:lvlJc w:val="left"/>
      <w:pPr>
        <w:ind w:hanging="420" w:left="420"/>
      </w:pPr>
      <w:rPr>
        <w:rFonts w:hint="default" w:ascii="Wingdings" w:hAnsi="Wingdings"/>
      </w:rPr>
    </w:lvl>
  </w:abstractNum>
  <w:abstractNum w:abstractNumId="3" w15:restartNumberingAfterBreak="0">
    <w:lvl w:ilvl="0">
      <w:start w:val="1"/>
      <w:numFmt w:val="bullet"/>
      <w:isLgl w:val="0"/>
      <w:suff w:val="tab"/>
      <w:lvlText w:val="-"/>
      <w:lvlJc w:val="left"/>
      <w:pPr>
        <w:ind w:hanging="360" w:left="846"/>
      </w:pPr>
      <w:rPr>
        <w:rFonts w:hint="default" w:ascii="Calibri" w:hAnsi="Calibri" w:eastAsia="宋体" w:cs="Calibri"/>
      </w:rPr>
    </w:lvl>
    <w:lvl w:ilvl="1">
      <w:start w:val="1"/>
      <w:numFmt w:val="bullet"/>
      <w:isLgl w:val="0"/>
      <w:suff w:val="tab"/>
      <w:lvlText w:val=""/>
      <w:lvlJc w:val="left"/>
      <w:pPr>
        <w:ind w:hanging="420" w:left="1326"/>
      </w:pPr>
      <w:rPr>
        <w:rFonts w:hint="default" w:ascii="Wingdings" w:hAnsi="Wingdings"/>
      </w:rPr>
    </w:lvl>
    <w:lvl w:ilvl="2">
      <w:start w:val="1"/>
      <w:numFmt w:val="bullet"/>
      <w:isLgl w:val="0"/>
      <w:suff w:val="tab"/>
      <w:lvlText w:val=""/>
      <w:lvlJc w:val="left"/>
      <w:pPr>
        <w:ind w:hanging="420" w:left="1746"/>
      </w:pPr>
      <w:rPr>
        <w:rFonts w:hint="default" w:ascii="Wingdings" w:hAnsi="Wingdings"/>
      </w:rPr>
    </w:lvl>
    <w:lvl w:ilvl="3">
      <w:start w:val="1"/>
      <w:numFmt w:val="bullet"/>
      <w:isLgl w:val="0"/>
      <w:suff w:val="tab"/>
      <w:lvlText w:val=""/>
      <w:lvlJc w:val="left"/>
      <w:pPr>
        <w:ind w:hanging="420" w:left="2166"/>
      </w:pPr>
      <w:rPr>
        <w:rFonts w:hint="default" w:ascii="Wingdings" w:hAnsi="Wingdings"/>
      </w:rPr>
    </w:lvl>
    <w:lvl w:ilvl="4">
      <w:start w:val="1"/>
      <w:numFmt w:val="bullet"/>
      <w:isLgl w:val="0"/>
      <w:suff w:val="tab"/>
      <w:lvlText w:val=""/>
      <w:lvlJc w:val="left"/>
      <w:pPr>
        <w:ind w:hanging="420" w:left="2586"/>
      </w:pPr>
      <w:rPr>
        <w:rFonts w:hint="default" w:ascii="Wingdings" w:hAnsi="Wingdings"/>
      </w:rPr>
    </w:lvl>
    <w:lvl w:ilvl="5">
      <w:start w:val="1"/>
      <w:numFmt w:val="bullet"/>
      <w:isLgl w:val="0"/>
      <w:suff w:val="tab"/>
      <w:lvlText w:val=""/>
      <w:lvlJc w:val="left"/>
      <w:pPr>
        <w:ind w:hanging="420" w:left="3006"/>
      </w:pPr>
      <w:rPr>
        <w:rFonts w:hint="default" w:ascii="Wingdings" w:hAnsi="Wingdings"/>
      </w:rPr>
    </w:lvl>
    <w:lvl w:ilvl="6">
      <w:start w:val="1"/>
      <w:numFmt w:val="bullet"/>
      <w:isLgl w:val="0"/>
      <w:suff w:val="tab"/>
      <w:lvlText w:val=""/>
      <w:lvlJc w:val="left"/>
      <w:pPr>
        <w:ind w:hanging="420" w:left="3426"/>
      </w:pPr>
      <w:rPr>
        <w:rFonts w:hint="default" w:ascii="Wingdings" w:hAnsi="Wingdings"/>
      </w:rPr>
    </w:lvl>
    <w:lvl w:ilvl="7">
      <w:start w:val="1"/>
      <w:numFmt w:val="bullet"/>
      <w:isLgl w:val="0"/>
      <w:suff w:val="tab"/>
      <w:lvlText w:val=""/>
      <w:lvlJc w:val="left"/>
      <w:pPr>
        <w:ind w:hanging="420" w:left="3846"/>
      </w:pPr>
      <w:rPr>
        <w:rFonts w:hint="default" w:ascii="Wingdings" w:hAnsi="Wingdings"/>
      </w:rPr>
    </w:lvl>
    <w:lvl w:ilvl="8">
      <w:start w:val="1"/>
      <w:numFmt w:val="bullet"/>
      <w:isLgl w:val="0"/>
      <w:suff w:val="tab"/>
      <w:lvlText w:val=""/>
      <w:lvlJc w:val="left"/>
      <w:pPr>
        <w:ind w:hanging="420" w:left="4266"/>
      </w:pPr>
      <w:rPr>
        <w:rFonts w:hint="default" w:ascii="Wingdings" w:hAnsi="Wingdings"/>
      </w:rPr>
    </w:lvl>
  </w:abstractNum>
  <w:abstractNum w:abstractNumId="4" w15:restartNumberingAfterBreak="0">
    <w:lvl w:ilvl="0">
      <w:start w:val="1"/>
      <w:numFmt w:val="bullet"/>
      <w:isLgl w:val="0"/>
      <w:suff w:val="tab"/>
      <w:lvlText w:val=""/>
      <w:lvlJc w:val="left"/>
      <w:pPr>
        <w:ind w:hanging="420" w:left="420"/>
      </w:pPr>
      <w:rPr>
        <w:rFonts w:hint="default" w:ascii="Wingdings" w:hAnsi="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3" w15:restartNumberingAfterBreak="0">
    <w:lvl w:ilvl="0">
      <w:numFmt w:val="bullet"/>
      <w:suff w:val="tab"/>
      <w:lvlText w:val="-"/>
      <w:lvlJc w:val="left"/>
      <w:pPr>
        <w:ind w:hanging="360" w:left="846"/>
      </w:pPr>
      <w:rPr>
        <w:rFonts w:hint="default" w:ascii="Calibri" w:hAnsi="Calibri" w:eastAsia="宋体" w:cs="Calibri"/>
      </w:rPr>
    </w:lvl>
    <w:lvl w:ilvl="1">
      <w:start w:val="1"/>
      <w:numFmt w:val="bullet"/>
      <w:suff w:val="tab"/>
      <w:lvlText w:val=""/>
      <w:lvlJc w:val="left"/>
      <w:pPr>
        <w:ind w:hanging="420" w:left="1326"/>
      </w:pPr>
      <w:rPr>
        <w:rFonts w:hint="default" w:ascii="Wingdings" w:hAnsi="Wingdings"/>
      </w:rPr>
    </w:lvl>
    <w:lvl w:ilvl="2">
      <w:start w:val="1"/>
      <w:numFmt w:val="bullet"/>
      <w:suff w:val="tab"/>
      <w:lvlText w:val=""/>
      <w:lvlJc w:val="left"/>
      <w:pPr>
        <w:ind w:hanging="420" w:left="1746"/>
      </w:pPr>
      <w:rPr>
        <w:rFonts w:hint="default" w:ascii="Wingdings" w:hAnsi="Wingdings"/>
      </w:rPr>
    </w:lvl>
    <w:lvl w:ilvl="3">
      <w:start w:val="1"/>
      <w:numFmt w:val="bullet"/>
      <w:suff w:val="tab"/>
      <w:lvlText w:val=""/>
      <w:lvlJc w:val="left"/>
      <w:pPr>
        <w:ind w:hanging="420" w:left="2166"/>
      </w:pPr>
      <w:rPr>
        <w:rFonts w:hint="default" w:ascii="Wingdings" w:hAnsi="Wingdings"/>
      </w:rPr>
    </w:lvl>
    <w:lvl w:ilvl="4">
      <w:start w:val="1"/>
      <w:numFmt w:val="bullet"/>
      <w:suff w:val="tab"/>
      <w:lvlText w:val=""/>
      <w:lvlJc w:val="left"/>
      <w:pPr>
        <w:ind w:hanging="420" w:left="2586"/>
      </w:pPr>
      <w:rPr>
        <w:rFonts w:hint="default" w:ascii="Wingdings" w:hAnsi="Wingdings"/>
      </w:rPr>
    </w:lvl>
    <w:lvl w:ilvl="5">
      <w:start w:val="1"/>
      <w:numFmt w:val="bullet"/>
      <w:suff w:val="tab"/>
      <w:lvlText w:val=""/>
      <w:lvlJc w:val="left"/>
      <w:pPr>
        <w:ind w:hanging="420" w:left="3006"/>
      </w:pPr>
      <w:rPr>
        <w:rFonts w:hint="default" w:ascii="Wingdings" w:hAnsi="Wingdings"/>
      </w:rPr>
    </w:lvl>
    <w:lvl w:ilvl="6">
      <w:start w:val="1"/>
      <w:numFmt w:val="bullet"/>
      <w:suff w:val="tab"/>
      <w:lvlText w:val=""/>
      <w:lvlJc w:val="left"/>
      <w:pPr>
        <w:ind w:hanging="420" w:left="3426"/>
      </w:pPr>
      <w:rPr>
        <w:rFonts w:hint="default" w:ascii="Wingdings" w:hAnsi="Wingdings"/>
      </w:rPr>
    </w:lvl>
    <w:lvl w:ilvl="7">
      <w:start w:val="1"/>
      <w:numFmt w:val="bullet"/>
      <w:suff w:val="tab"/>
      <w:lvlText w:val=""/>
      <w:lvlJc w:val="left"/>
      <w:pPr>
        <w:ind w:hanging="420" w:left="3846"/>
      </w:pPr>
      <w:rPr>
        <w:rFonts w:hint="default" w:ascii="Wingdings" w:hAnsi="Wingdings"/>
      </w:rPr>
    </w:lvl>
    <w:lvl w:ilvl="8">
      <w:start w:val="1"/>
      <w:numFmt w:val="bullet"/>
      <w:suff w:val="tab"/>
      <w:lvlText w:val=""/>
      <w:lvlJc w:val="left"/>
      <w:pPr>
        <w:ind w:hanging="420" w:left="4266"/>
      </w:pPr>
      <w:rPr>
        <w:rFonts w:hint="default" w:ascii="Wingdings" w:hAnsi="Wingdings"/>
      </w:rPr>
    </w:lvl>
  </w:abstractNum>
  <w:abstractNum w:abstractNumId="4" w15:restartNumberingAfterBreak="0">
    <w:lvl w:ilvl="0">
      <w:start w:val="1"/>
      <w:numFmt w:val="bullet"/>
      <w:suff w:val="tab"/>
      <w:lvlText w:val=""/>
      <w:lvlJc w:val="left"/>
      <w:pPr>
        <w:ind w:hanging="420" w:left="420"/>
      </w:pPr>
      <w:rPr>
        <w:rFonts w:hint="default" w:ascii="Wingdings" w:hAnsi="Wingdings"/>
      </w:rPr>
    </w:lvl>
  </w:abstractNum>
  <w:abstractNum w:abstractNumId="1201" w15:restartNumberingAfterBreak="0">
    <w:lvl w:ilvl="0">
      <w:start w:val="1"/>
      <w:numFmt w:val="bullet"/>
      <w:isLgl w:val="0"/>
      <w:suff w:val="tab"/>
      <w:lvlText w:val="-"/>
      <w:legacy w:legacy="0" w:legacySpace="0" w:legacyIndent="0"/>
      <w:lvlJc w:val="left"/>
      <w:pPr>
        <w:ind w:hanging="360" w:left="846"/>
      </w:pPr>
      <w:rPr>
        <w:rFonts w:hint="default" w:ascii="Calibri" w:hAnsi="Calibri" w:eastAsia="宋体" w:cs="Calibri"/>
      </w:rPr>
    </w:lvl>
    <w:lvl w:ilvl="1">
      <w:start w:val="1"/>
      <w:numFmt w:val="bullet"/>
      <w:isLgl w:val="0"/>
      <w:suff w:val="tab"/>
      <w:lvlText w:val=""/>
      <w:legacy w:legacy="0" w:legacySpace="0" w:legacyIndent="0"/>
      <w:lvlJc w:val="left"/>
      <w:pPr>
        <w:ind w:hanging="420" w:left="1326"/>
      </w:pPr>
      <w:rPr>
        <w:rFonts w:hint="default" w:ascii="Wingdings" w:hAnsi="Wingdings"/>
      </w:rPr>
    </w:lvl>
    <w:lvl w:ilvl="2">
      <w:start w:val="1"/>
      <w:numFmt w:val="bullet"/>
      <w:isLgl w:val="0"/>
      <w:suff w:val="tab"/>
      <w:lvlText w:val=""/>
      <w:legacy w:legacy="0" w:legacySpace="0" w:legacyIndent="0"/>
      <w:lvlJc w:val="left"/>
      <w:pPr>
        <w:ind w:hanging="420" w:left="1746"/>
      </w:pPr>
      <w:rPr>
        <w:rFonts w:hint="default" w:ascii="Wingdings" w:hAnsi="Wingdings"/>
      </w:rPr>
    </w:lvl>
    <w:lvl w:ilvl="3">
      <w:start w:val="1"/>
      <w:numFmt w:val="bullet"/>
      <w:isLgl w:val="0"/>
      <w:suff w:val="tab"/>
      <w:lvlText w:val=""/>
      <w:legacy w:legacy="0" w:legacySpace="0" w:legacyIndent="0"/>
      <w:lvlJc w:val="left"/>
      <w:pPr>
        <w:ind w:hanging="420" w:left="2166"/>
      </w:pPr>
      <w:rPr>
        <w:rFonts w:hint="default" w:ascii="Wingdings" w:hAnsi="Wingdings"/>
      </w:rPr>
    </w:lvl>
    <w:lvl w:ilvl="4">
      <w:start w:val="1"/>
      <w:numFmt w:val="bullet"/>
      <w:isLgl w:val="0"/>
      <w:suff w:val="tab"/>
      <w:lvlText w:val=""/>
      <w:legacy w:legacy="0" w:legacySpace="0" w:legacyIndent="0"/>
      <w:lvlJc w:val="left"/>
      <w:pPr>
        <w:ind w:hanging="420" w:left="2586"/>
      </w:pPr>
      <w:rPr>
        <w:rFonts w:hint="default" w:ascii="Wingdings" w:hAnsi="Wingdings"/>
      </w:rPr>
    </w:lvl>
    <w:lvl w:ilvl="5">
      <w:start w:val="1"/>
      <w:numFmt w:val="bullet"/>
      <w:isLgl w:val="0"/>
      <w:suff w:val="tab"/>
      <w:lvlText w:val=""/>
      <w:legacy w:legacy="0" w:legacySpace="0" w:legacyIndent="0"/>
      <w:lvlJc w:val="left"/>
      <w:pPr>
        <w:ind w:hanging="420" w:left="3006"/>
      </w:pPr>
      <w:rPr>
        <w:rFonts w:hint="default" w:ascii="Wingdings" w:hAnsi="Wingdings"/>
      </w:rPr>
    </w:lvl>
    <w:lvl w:ilvl="6">
      <w:start w:val="1"/>
      <w:numFmt w:val="bullet"/>
      <w:isLgl w:val="0"/>
      <w:suff w:val="tab"/>
      <w:lvlText w:val=""/>
      <w:legacy w:legacy="0" w:legacySpace="0" w:legacyIndent="0"/>
      <w:lvlJc w:val="left"/>
      <w:pPr>
        <w:ind w:hanging="420" w:left="3426"/>
      </w:pPr>
      <w:rPr>
        <w:rFonts w:hint="default" w:ascii="Wingdings" w:hAnsi="Wingdings"/>
      </w:rPr>
    </w:lvl>
    <w:lvl w:ilvl="7">
      <w:start w:val="1"/>
      <w:numFmt w:val="bullet"/>
      <w:isLgl w:val="0"/>
      <w:suff w:val="tab"/>
      <w:lvlText w:val=""/>
      <w:legacy w:legacy="0" w:legacySpace="0" w:legacyIndent="0"/>
      <w:lvlJc w:val="left"/>
      <w:pPr>
        <w:ind w:hanging="420" w:left="3846"/>
      </w:pPr>
      <w:rPr>
        <w:rFonts w:hint="default" w:ascii="Wingdings" w:hAnsi="Wingdings"/>
      </w:rPr>
    </w:lvl>
    <w:lvl w:ilvl="8">
      <w:start w:val="1"/>
      <w:numFmt w:val="bullet"/>
      <w:isLgl w:val="0"/>
      <w:suff w:val="tab"/>
      <w:lvlText w:val=""/>
      <w:legacy w:legacy="0" w:legacySpace="0" w:legacyIndent="0"/>
      <w:lvlJc w:val="left"/>
      <w:pPr>
        <w:ind w:hanging="420" w:left="4266"/>
      </w:pPr>
      <w:rPr>
        <w:rFonts w:hint="default" w:ascii="Wingdings" w:hAnsi="Wingdings"/>
      </w:rPr>
    </w:lvl>
  </w:abstractNum>
  <w:abstractNum w:abstractNumId="1321" w15:restartNumberingAfterBreak="0">
    <w:lvl w:ilvl="0">
      <w:start w:val="1"/>
      <w:numFmt w:val="decimal"/>
      <w:isLgl w:val="0"/>
      <w:suff w:val="tab"/>
      <w:lvlText w:val="%1."/>
      <w:lvlJc w:val="left"/>
      <w:pPr>
        <w:ind w:hanging="420" w:left="420"/>
      </w:pPr>
    </w:lvl>
    <w:lvl w:ilvl="1">
      <w:start w:val="1"/>
      <w:numFmt w:val="lowerLetter"/>
      <w:isLgl w:val="0"/>
      <w:suff w:val="tab"/>
      <w:lvlText w:val="%2."/>
      <w:lvlJc w:val="left"/>
      <w:pPr>
        <w:ind w:hanging="420" w:left="840"/>
      </w:pPr>
    </w:lvl>
    <w:lvl w:ilvl="2">
      <w:start w:val="1"/>
      <w:numFmt w:val="lowerRoman"/>
      <w:isLgl w:val="0"/>
      <w:suff w:val="tab"/>
      <w:lvlText w:val="%3."/>
      <w:lvlJc w:val="right"/>
      <w:pPr>
        <w:ind w:hanging="420" w:left="1260"/>
      </w:pPr>
    </w:lvl>
    <w:lvl w:ilvl="3">
      <w:start w:val="1"/>
      <w:numFmt w:val="decimal"/>
      <w:isLgl w:val="0"/>
      <w:suff w:val="tab"/>
      <w:lvlText w:val="%4."/>
      <w:lvlJc w:val="left"/>
      <w:pPr>
        <w:ind w:hanging="420" w:left="1680"/>
      </w:pPr>
    </w:lvl>
    <w:lvl w:ilvl="4">
      <w:start w:val="1"/>
      <w:numFmt w:val="lowerLetter"/>
      <w:isLgl w:val="0"/>
      <w:suff w:val="tab"/>
      <w:lvlText w:val="%5."/>
      <w:lvlJc w:val="left"/>
      <w:pPr>
        <w:ind w:hanging="420" w:left="2100"/>
      </w:pPr>
    </w:lvl>
    <w:lvl w:ilvl="5">
      <w:start w:val="1"/>
      <w:numFmt w:val="lowerRoman"/>
      <w:isLgl w:val="0"/>
      <w:suff w:val="tab"/>
      <w:lvlText w:val="%6."/>
      <w:lvlJc w:val="right"/>
      <w:pPr>
        <w:ind w:hanging="420" w:left="2520"/>
      </w:pPr>
    </w:lvl>
    <w:lvl w:ilvl="6">
      <w:start w:val="1"/>
      <w:numFmt w:val="decimal"/>
      <w:isLgl w:val="0"/>
      <w:suff w:val="tab"/>
      <w:lvlText w:val="%7."/>
      <w:lvlJc w:val="left"/>
      <w:pPr>
        <w:ind w:hanging="420" w:left="2940"/>
      </w:pPr>
    </w:lvl>
    <w:lvl w:ilvl="7">
      <w:start w:val="1"/>
      <w:numFmt w:val="lowerLetter"/>
      <w:isLgl w:val="0"/>
      <w:suff w:val="tab"/>
      <w:lvlText w:val="%8."/>
      <w:lvlJc w:val="left"/>
      <w:pPr>
        <w:ind w:hanging="420" w:left="3360"/>
      </w:pPr>
    </w:lvl>
    <w:lvl w:ilvl="8">
      <w:start w:val="1"/>
      <w:numFmt w:val="lowerRoman"/>
      <w:isLgl w:val="0"/>
      <w:suff w:val="tab"/>
      <w:lvlText w:val="%9."/>
      <w:lvlJc w:val="right"/>
      <w:pPr>
        <w:ind w:hanging="420" w:left="3780"/>
      </w:pPr>
    </w:lvl>
  </w:abstractNum>
  <w:abstractNum w:abstractNumId="5" w15:restartNumberingAfterBreak="0">
    <w:lvl w:ilvl="0">
      <w:start w:val="1"/>
      <w:numFmt w:val="bullet"/>
      <w:isLgl w:val="0"/>
      <w:suff w:val="tab"/>
      <w:lvlText w:val=""/>
      <w:lvlJc w:val="left"/>
      <w:pPr>
        <w:ind w:hanging="420" w:left="420"/>
      </w:pPr>
      <w:rPr>
        <w:rFonts w:hint="default" w:ascii="Wingdings" w:hAnsi="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5" w15:restartNumberingAfterBreak="0">
    <w:lvl w:ilvl="0">
      <w:start w:val="1"/>
      <w:numFmt w:val="bullet"/>
      <w:suff w:val="tab"/>
      <w:lvlText w:val=""/>
      <w:lvlJc w:val="left"/>
      <w:pPr>
        <w:ind w:hanging="420" w:left="420"/>
      </w:pPr>
      <w:rPr>
        <w:rFonts w:hint="default" w:ascii="Wingdings" w:hAnsi="Wingdings"/>
      </w:rPr>
    </w:lvl>
  </w:abstractNum>
  <w:abstractNum w:abstractNumId="334" w15:restartNumberingAfterBreak="0">
    <w:lvl w:ilvl="0">
      <w:start w:val="1"/>
      <w:numFmt w:val="decimal"/>
      <w:isLgl w:val="0"/>
      <w:suff w:val="tab"/>
      <w:lvlText w:val="%1."/>
      <w:lvlJc w:val="left"/>
      <w:pPr>
        <w:ind w:hanging="420" w:left="420"/>
      </w:pPr>
    </w:lvl>
    <w:lvl w:ilvl="1">
      <w:start w:val="1"/>
      <w:numFmt w:val="lowerLetter"/>
      <w:isLgl w:val="0"/>
      <w:suff w:val="tab"/>
      <w:lvlText w:val="%2."/>
      <w:lvlJc w:val="left"/>
      <w:pPr>
        <w:ind w:hanging="420" w:left="840"/>
      </w:pPr>
    </w:lvl>
    <w:lvl w:ilvl="2">
      <w:start w:val="1"/>
      <w:numFmt w:val="lowerRoman"/>
      <w:isLgl w:val="0"/>
      <w:suff w:val="tab"/>
      <w:lvlText w:val="%3."/>
      <w:lvlJc w:val="right"/>
      <w:pPr>
        <w:ind w:hanging="420" w:left="1260"/>
      </w:pPr>
    </w:lvl>
    <w:lvl w:ilvl="3">
      <w:start w:val="1"/>
      <w:numFmt w:val="decimal"/>
      <w:isLgl w:val="0"/>
      <w:suff w:val="tab"/>
      <w:lvlText w:val="%4."/>
      <w:lvlJc w:val="left"/>
      <w:pPr>
        <w:ind w:hanging="420" w:left="1680"/>
      </w:pPr>
    </w:lvl>
    <w:lvl w:ilvl="4">
      <w:start w:val="1"/>
      <w:numFmt w:val="lowerLetter"/>
      <w:isLgl w:val="0"/>
      <w:suff w:val="tab"/>
      <w:lvlText w:val="%5."/>
      <w:lvlJc w:val="left"/>
      <w:pPr>
        <w:ind w:hanging="420" w:left="2100"/>
      </w:pPr>
    </w:lvl>
    <w:lvl w:ilvl="5">
      <w:start w:val="1"/>
      <w:numFmt w:val="lowerRoman"/>
      <w:isLgl w:val="0"/>
      <w:suff w:val="tab"/>
      <w:lvlText w:val="%6."/>
      <w:lvlJc w:val="right"/>
      <w:pPr>
        <w:ind w:hanging="420" w:left="2520"/>
      </w:pPr>
    </w:lvl>
    <w:lvl w:ilvl="6">
      <w:start w:val="1"/>
      <w:numFmt w:val="decimal"/>
      <w:isLgl w:val="0"/>
      <w:suff w:val="tab"/>
      <w:lvlText w:val="%7."/>
      <w:lvlJc w:val="left"/>
      <w:pPr>
        <w:ind w:hanging="420" w:left="2940"/>
      </w:pPr>
    </w:lvl>
    <w:lvl w:ilvl="7">
      <w:start w:val="1"/>
      <w:numFmt w:val="lowerLetter"/>
      <w:isLgl w:val="0"/>
      <w:suff w:val="tab"/>
      <w:lvlText w:val="%8."/>
      <w:lvlJc w:val="left"/>
      <w:pPr>
        <w:ind w:hanging="420" w:left="3360"/>
      </w:pPr>
    </w:lvl>
    <w:lvl w:ilvl="8">
      <w:start w:val="1"/>
      <w:numFmt w:val="lowerRoman"/>
      <w:isLgl w:val="0"/>
      <w:suff w:val="tab"/>
      <w:lvlText w:val="%9."/>
      <w:lvlJc w:val="right"/>
      <w:pPr>
        <w:ind w:hanging="420" w:left="3780"/>
      </w:pPr>
    </w:lvl>
  </w:abstractNum>
  <w:abstractNum w:abstractNumId="342" w15:restartNumberingAfterBreak="0">
    <w:lvl w:ilvl="0">
      <w:start w:val="1"/>
      <w:numFmt w:val="decimal"/>
      <w:pStyle w:val="6"/>
      <w:isLgl w:val="0"/>
      <w:suff w:val="tab"/>
      <w:lvlText w:val="%1."/>
      <w:lvlJc w:val="left"/>
      <w:pPr>
        <w:ind w:hanging="420" w:left="420"/>
      </w:pPr>
    </w:lvl>
    <w:lvl w:ilvl="1">
      <w:start w:val="1"/>
      <w:numFmt w:val="lowerLetter"/>
      <w:isLgl w:val="0"/>
      <w:suff w:val="tab"/>
      <w:lvlText w:val="%2."/>
      <w:lvlJc w:val="left"/>
      <w:pPr>
        <w:ind w:hanging="420" w:left="840"/>
      </w:pPr>
    </w:lvl>
    <w:lvl w:ilvl="2">
      <w:start w:val="1"/>
      <w:numFmt w:val="lowerRoman"/>
      <w:isLgl w:val="0"/>
      <w:suff w:val="tab"/>
      <w:lvlText w:val="%3."/>
      <w:lvlJc w:val="right"/>
      <w:pPr>
        <w:ind w:hanging="420" w:left="1260"/>
      </w:pPr>
    </w:lvl>
    <w:lvl w:ilvl="3">
      <w:start w:val="1"/>
      <w:numFmt w:val="decimal"/>
      <w:isLgl w:val="0"/>
      <w:suff w:val="tab"/>
      <w:lvlText w:val="%4."/>
      <w:lvlJc w:val="left"/>
      <w:pPr>
        <w:ind w:hanging="420" w:left="1680"/>
      </w:pPr>
    </w:lvl>
    <w:lvl w:ilvl="4">
      <w:start w:val="1"/>
      <w:numFmt w:val="lowerLetter"/>
      <w:isLgl w:val="0"/>
      <w:suff w:val="tab"/>
      <w:lvlText w:val="%5."/>
      <w:lvlJc w:val="left"/>
      <w:pPr>
        <w:ind w:hanging="420" w:left="2100"/>
      </w:pPr>
    </w:lvl>
    <w:lvl w:ilvl="5">
      <w:start w:val="1"/>
      <w:numFmt w:val="lowerRoman"/>
      <w:isLgl w:val="0"/>
      <w:suff w:val="tab"/>
      <w:lvlText w:val="%6."/>
      <w:lvlJc w:val="right"/>
      <w:pPr>
        <w:ind w:hanging="420" w:left="2520"/>
      </w:pPr>
    </w:lvl>
    <w:lvl w:ilvl="6">
      <w:start w:val="1"/>
      <w:numFmt w:val="decimal"/>
      <w:isLgl w:val="0"/>
      <w:suff w:val="tab"/>
      <w:lvlText w:val="%7."/>
      <w:lvlJc w:val="left"/>
      <w:pPr>
        <w:ind w:hanging="420" w:left="2940"/>
      </w:pPr>
    </w:lvl>
    <w:lvl w:ilvl="7">
      <w:start w:val="1"/>
      <w:numFmt w:val="lowerLetter"/>
      <w:isLgl w:val="0"/>
      <w:suff w:val="tab"/>
      <w:lvlText w:val="%8."/>
      <w:lvlJc w:val="left"/>
      <w:pPr>
        <w:ind w:hanging="420" w:left="3360"/>
      </w:pPr>
    </w:lvl>
    <w:lvl w:ilvl="8">
      <w:start w:val="1"/>
      <w:numFmt w:val="lowerRoman"/>
      <w:isLgl w:val="0"/>
      <w:suff w:val="tab"/>
      <w:lvlText w:val="%9."/>
      <w:lvlJc w:val="right"/>
      <w:pPr>
        <w:ind w:hanging="420" w:left="3780"/>
      </w:pPr>
    </w:lvl>
  </w:abstractNum>
  <w:num w:numId="1">
    <w:abstractNumId w:val="5"/>
  </w:num>
  <w:num w:numId="2">
    <w:abstractNumId w:val="3"/>
  </w:num>
  <w:num w:numId="3">
    <w:abstractNumId w:val="4"/>
  </w:num>
  <w:num w:numId="4">
    <w:abstractNumId w:val="2"/>
  </w:num>
  <w:num w:numId="5">
    <w:abstractNumId w:val="1"/>
  </w:num>
  <w:num w:numId="335">
    <w:abstractNumId w:val="334"/>
  </w:num>
  <w:num w:numId="343">
    <w:abstractNumId w:val="342"/>
  </w:num>
  <w:num w:numId="5">
    <w:abstractNumId w:val="1"/>
  </w:num>
  <w:num w:numId="1202">
    <w:abstractNumId w:val="1201"/>
  </w:num>
  <w:num w:numId="1322">
    <w:abstractNumId w:val="1321"/>
  </w:num>
  <w:num w:numId="2">
    <w:abstractNumId w:val="3"/>
  </w:num>
  <w:num w:numId="3">
    <w:abstractNumId w:val="4"/>
  </w:num>
  <w:num w:numId="1">
    <w:abstractNumId w:val="5"/>
  </w:num>
</w:numbering>
</file>

<file path=word/settings.xml><?xml version="1.0" encoding="utf-8"?>
<w:settings xmlns:w="http://schemas.openxmlformats.org/wordprocessingml/2006/main" xmlns:m="http://schemas.openxmlformats.org/officeDocument/2006/math" xmlns:v="urn:schemas-microsoft-com:vml">
  <w:defaultTabStop w:val="420"/>
  <w:drawingGridVerticalSpacing w:val="156"/>
  <w:noPunctuationKerning w:val="1"/>
  <w:characterSpacingControl w:val="compressPunctuation"/>
  <w:compat>
    <w:spaceForUL w:val="1"/>
    <w:balanceSingleByteDoubleByteWidth w:val="1"/>
    <w:doNotLeaveBackslashAlone w:val="1"/>
    <w:ulTrailSpace w:val="1"/>
    <w:doNotExpandShiftReturn w:val="1"/>
    <w:adjustLineHeightInTable w:val="1"/>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docDefaults>
    <w:rPrDefault>
      <w:rPr>
        <w:lang w:val="en-US" w:eastAsia="zh-CN" w:bidi="ar-SA"/>
        <w:rFonts w:ascii="Times New Roman" w:hAnsi="Times New Roman" w:eastAsia="宋体" w:cs="Times New Roman"/>
      </w:rPr>
    </w:rPrDefault>
    <w:pPrDefault/>
  </w:docDefaults>
  <w:style w:type="paragraph" w:styleId="a" w:default="1">
    <w:name w:val="Normal"/>
    <w:qFormat w:val="1"/>
    <w:pPr>
      <w:jc w:val="both"/>
      <w:widowControl w:val="0"/>
    </w:pPr>
    <w:rPr>
      <w:kern w:val="2"/>
      <w:rFonts w:ascii="Calibri" w:hAnsi="Calibri"/>
      <w:sz w:val="21"/>
      <w:szCs w:val="24"/>
    </w:rPr>
  </w:style>
  <w:style w:type="character" w:styleId="a0" w:default="1">
    <w:name w:val="Default Paragraph Font"/>
    <w:uiPriority w:val="1"/>
  </w:style>
  <w:style w:type="table" w:styleId="a1" w:default="1">
    <w:name w:val="Normal Table"/>
    <w:uiPriority w:val="99"/>
    <w:tblPr>
      <w:tblInd w:w="0"/>
      <w:tblCellMar>
        <w:top w:w="0" w:type="dxa"/>
        <w:left w:w="108" w:type="dxa"/>
        <w:bottom w:w="0" w:type="dxa"/>
        <w:right w:w="108" w:type="dxa"/>
      </w:tblCellMar>
    </w:tblPr>
  </w:style>
  <w:style w:type="numbering" w:styleId="a2" w:default="1">
    <w:name w:val="No List"/>
    <w:uiPriority w:val="99"/>
  </w:style>
  <w:style w:type="character" w:styleId="a3">
    <w:name w:val="Hyperlink"/>
    <w:basedOn w:val="a0"/>
    <w:rPr>
      <w:color w:val="0000FF"/>
      <w:u w:val="single"/>
    </w:rPr>
  </w:style>
  <w:style w:type="paragraph" w:styleId="22">
    <w:name w:val="List Paragraph"/>
    <w:basedOn w:val="a"/>
    <w:uiPriority w:val="34"/>
    <w:qFormat w:val="1"/>
  </w:style>
  <w:style w:type="paragraph" w:styleId="6">
    <w:name w:val="Heading 2"/>
    <w:next w:val="a"/>
    <w:link w:val="7"/>
    <w:uiPriority w:val="9"/>
    <w:unhideWhenUsed w:val="1"/>
    <w:qFormat w:val="1"/>
    <w:pPr>
      <w:ind w:firstLineChars="0"/>
      <w:numPr>
        <w:ilvl w:val="0"/>
        <w:numId w:val="343"/>
      </w:numPr>
      <w:outlineLvl w:val="1"/>
      <w:pStyle w:val="6"/>
      <w:spacing w:after="260" w:before="260" w:line="408" w:lineRule="auto"/>
    </w:pPr>
    <w:rPr>
      <w:b w:val="1"/>
      <w:color w:val="auto"/>
      <w:dstrike w:val="0"/>
      <w:i w:val="0"/>
      <w:kern w:val="2"/>
      <w:lang w:val="en-US" w:bidi="en-US"/>
      <w:rFonts w:ascii="STKaiti" w:hAnsi="STKaiti" w:eastAsia="STKaiti" w:cs="Kaiti SC Regular"/>
      <w:spacing w:val="0"/>
      <w:strike w:val="0"/>
      <w:sz w:val="32"/>
      <w:szCs w:val="24"/>
      <w:u w:val="none"/>
      <w:vertAlign w:val="baseline"/>
      <w:w w:val="100"/>
    </w:rPr>
  </w:style>
  <w:style w:type="character" w:styleId="7">
    <w:name w:val="Heading 2 Char"/>
    <w:link w:val="6"/>
    <w:uiPriority w:val="9"/>
    <w:rPr>
      <w:b w:val="1"/>
      <w:color w:val="auto"/>
      <w:dstrike w:val="0"/>
      <w:i w:val="0"/>
      <w:kern w:val="2"/>
      <w:lang w:val="en-US" w:bidi="en-US"/>
      <w:rFonts w:ascii="STKaiti" w:hAnsi="STKaiti" w:eastAsia="STKaiti" w:cs="Kaiti SC Regular"/>
      <w:spacing w:val="0"/>
      <w:strike w:val="0"/>
      <w:sz w:val="32"/>
      <w:szCs w:val="24"/>
      <w:u w:val="none"/>
      <w:vertAlign w:val="baseline"/>
      <w:w w:val="100"/>
    </w:rPr>
  </w:style>
  <w:style w:type="character" w:styleId="2">
    <w:name w:val="original Paragraph Font"/>
    <w:uiPriority w:val="1"/>
    <w:unhideWhenUsed w:val="1"/>
  </w:style>
</w:styles>
</file>

<file path=word/_rels/document.xml.rels><?xml version="1.0" encoding="UTF-8" standalone="yes"?><Relationships xmlns="http://schemas.openxmlformats.org/package/2006/relationships"><Relationship Id="rId1" Type="http://schemas.openxmlformats.org/officeDocument/2006/relationships/theme" TargetMode="Internal" Target="theme/theme1.xml"/><Relationship Id="rId3" Type="http://schemas.openxmlformats.org/officeDocument/2006/relationships/styles" TargetMode="Internal" Target="styles.xml"/><Relationship Id="rId2" Type="http://schemas.openxmlformats.org/officeDocument/2006/relationships/settings" TargetMode="Internal" Target="settings.xml"/><Relationship Id="rId4" Type="http://schemas.openxmlformats.org/officeDocument/2006/relationships/footnotes" TargetMode="Internal" Target="footnotes.xml"/><Relationship Id="rId5" Type="http://schemas.openxmlformats.org/officeDocument/2006/relationships/numbering" TargetMode="Internal"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