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footnotes+xml" PartName="/word/footnotes.xml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jc w:val="center"/>
        <w:rPr>
          <w:rFonts w:ascii="楷体" w:hAnsi="楷体" w:eastAsia="楷体" w:cs="Kaiti SC Regular"/>
          <w:sz w:val="32"/>
          <w:szCs w:val="40"/>
        </w:rPr>
      </w:pPr>
      <w:r>
        <w:rPr>
          <w:b w:val="0"/>
          <w:color w:val="auto"/>
          <w:dstrike w:val="0"/>
          <w:i w:val="0"/>
          <w:kern w:val="2"/>
          <w:lang w:val="en-US" w:bidi="en-US"/>
          <w:rFonts w:hint="eastAsia" w:ascii="楷体" w:hAnsi="楷体" w:eastAsia="楷体" w:cs="Kaiti SC Regular"/>
          <w:rtl w:val="0"/>
          <w:spacing w:val="0"/>
          <w:strike w:val="0"/>
          <w:sz w:val="32"/>
          <w:szCs w:val="40"/>
          <w:u w:val="none"/>
          <w:vertAlign w:val="baseline"/>
          <w:w w:val="100"/>
        </w:rPr>
        <w:t>北京涌金春生投资管理有限公</w:t>
      </w:r>
      <w:r>
        <w:rPr>
          <w:rFonts w:hint="eastAsia" w:ascii="楷体" w:hAnsi="楷体" w:eastAsia="楷体" w:cs="Kaiti SC Regular"/>
          <w:sz w:val="32"/>
          <w:szCs w:val="40"/>
        </w:rPr>
        <w:t>司</w:t>
      </w:r>
    </w:p>
    <w:p>
      <w:pPr>
        <w:jc w:val="left"/>
        <w:rPr>
          <w:rFonts w:ascii="楷体" w:hAnsi="楷体" w:eastAsia="楷体" w:cs="Kaiti SC Regular"/>
          <w:sz w:val="24"/>
        </w:rPr>
      </w:pPr>
      <w:r>
        <w:rPr>
          <w:rFonts w:hint="eastAsia" w:ascii="楷体" w:hAnsi="楷体" w:eastAsia="楷体" w:cs="Kaiti SC Regular"/>
          <w:sz w:val="24"/>
        </w:rPr>
        <w:t>访谈对象：</w:t>
      </w:r>
      <w:r>
        <w:rPr>
          <w:rFonts w:hint="eastAsia" w:ascii="楷体" w:hAnsi="楷体" w:eastAsia="楷体" w:cs="Kaiti SC Regular"/>
          <w:sz w:val="24"/>
        </w:rPr>
        <w:t>季保安（创始人，投研总监）</w:t>
      </w:r>
    </w:p>
    <w:p>
      <w:pPr>
        <w:pStyle w:val="6"/>
        <w:rPr>
          <w:b w:val="0"/>
          <w:rFonts w:ascii="楷体" w:hAnsi="楷体" w:eastAsia="楷体"/>
        </w:rPr>
      </w:pPr>
      <w:r>
        <w:rPr>
          <w:b w:val="0"/>
          <w:rFonts w:ascii="楷体" w:hAnsi="楷体" w:eastAsia="楷体"/>
        </w:rPr>
        <w:t>公司及人员</w:t>
      </w:r>
    </w:p>
    <w:p>
      <w:pPr>
        <w:jc w:val="left"/>
        <w:numPr>
          <w:ilvl w:val="0"/>
          <w:numId w:val="1"/>
        </w:numPr>
        <w:rPr>
          <w:b w:val="1"/>
          <w:rFonts w:ascii="楷体" w:hAnsi="楷体" w:eastAsia="楷体" w:cs="Kaiti SC Regular"/>
          <w:sz w:val="24"/>
        </w:rPr>
      </w:pPr>
      <w:r>
        <w:rPr>
          <w:b w:val="1"/>
          <w:rFonts w:hint="eastAsia" w:ascii="楷体" w:hAnsi="楷体" w:eastAsia="楷体" w:cs="Kaiti SC Regular"/>
          <w:sz w:val="24"/>
        </w:rPr>
        <w:t>公司概况：</w:t>
      </w:r>
    </w:p>
    <w:p>
      <w:pPr>
        <w:ind w:left="420"/>
        <w:jc w:val="left"/>
        <w:rPr>
          <w:rFonts w:ascii="楷体" w:hAnsi="楷体" w:eastAsia="楷体" w:cs="Kaiti SC Regular"/>
          <w:sz w:val="24"/>
        </w:rPr>
      </w:pPr>
      <w:r>
        <w:rPr>
          <w:rFonts w:hint="eastAsia" w:ascii="楷体" w:hAnsi="楷体" w:eastAsia="楷体" w:cs="Kaiti SC Regular"/>
          <w:sz w:val="24"/>
        </w:rPr>
        <w:tab/>
      </w:r>
      <w:r>
        <w:rPr>
          <w:b w:val="0"/>
          <w:color w:val="auto"/>
          <w:dstrike w:val="0"/>
          <w:i w:val="0"/>
          <w:kern w:val="2"/>
          <w:lang w:val="en-US" w:bidi="en-US"/>
          <w:rFonts w:hint="eastAsia" w:ascii="楷体" w:hAnsi="楷体" w:eastAsia="楷体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北京涌金春生投资管理有限公司</w:t>
      </w:r>
      <w:r>
        <w:rPr>
          <w:color w:val="000000"/>
          <w:kern w:val="2"/>
          <w:rFonts w:ascii="楷体" w:hAnsi="楷体" w:eastAsia="楷体" w:cs="Kaiti SC"/>
          <w:sz w:val="24"/>
        </w:rPr>
        <w:t xml:space="preserve">，成立于 201</w:t>
      </w:r>
      <w:r>
        <w:rPr>
          <w:color w:val="000000"/>
          <w:kern w:val="2"/>
          <w:rFonts w:ascii="楷体" w:hAnsi="楷体" w:eastAsia="楷体" w:cs="Kaiti SC"/>
          <w:sz w:val="24"/>
        </w:rPr>
        <w:t>5</w:t>
      </w:r>
      <w:r>
        <w:rPr>
          <w:color w:val="000000"/>
          <w:kern w:val="2"/>
          <w:rFonts w:ascii="楷体" w:hAnsi="楷体" w:eastAsia="楷体" w:cs="Kaiti SC"/>
          <w:sz w:val="24"/>
        </w:rPr>
        <w:t xml:space="preserve">年 0</w:t>
      </w:r>
      <w:r>
        <w:rPr>
          <w:color w:val="000000"/>
          <w:kern w:val="2"/>
          <w:rFonts w:ascii="楷体" w:hAnsi="楷体" w:eastAsia="楷体" w:cs="Kaiti SC"/>
          <w:sz w:val="24"/>
        </w:rPr>
        <w:t>9</w:t>
      </w:r>
      <w:r>
        <w:rPr>
          <w:color w:val="000000"/>
          <w:kern w:val="2"/>
          <w:rFonts w:ascii="楷体" w:hAnsi="楷体" w:eastAsia="楷体" w:cs="Kaiti SC"/>
          <w:sz w:val="24"/>
        </w:rPr>
        <w:t xml:space="preserve"> 月 </w:t>
      </w:r>
      <w:r>
        <w:rPr>
          <w:color w:val="000000"/>
          <w:kern w:val="2"/>
          <w:rFonts w:ascii="楷体" w:hAnsi="楷体" w:eastAsia="楷体" w:cs="Kaiti SC"/>
          <w:sz w:val="24"/>
        </w:rPr>
        <w:t>07</w:t>
      </w:r>
      <w:r>
        <w:rPr>
          <w:color w:val="000000"/>
          <w:kern w:val="2"/>
          <w:rFonts w:ascii="楷体" w:hAnsi="楷体" w:eastAsia="楷体" w:cs="Kaiti SC"/>
          <w:sz w:val="24"/>
        </w:rPr>
        <w:t> 日， </w:t>
      </w:r>
      <w:r>
        <w:rPr>
          <w:color w:val="000000"/>
          <w:kern w:val="2"/>
          <w:rFonts w:ascii="楷体" w:hAnsi="楷体" w:eastAsia="楷体" w:cs="Kaiti SC"/>
          <w:sz w:val="24"/>
        </w:rPr>
        <w:t>2020</w:t>
      </w:r>
      <w:r>
        <w:rPr>
          <w:color w:val="000000"/>
          <w:kern w:val="2"/>
          <w:rFonts w:ascii="楷体" w:hAnsi="楷体" w:eastAsia="楷体" w:cs="Kaiti SC"/>
          <w:sz w:val="24"/>
        </w:rPr>
        <w:t xml:space="preserve">年 </w:t>
      </w:r>
      <w:r>
        <w:rPr>
          <w:color w:val="000000"/>
          <w:kern w:val="2"/>
          <w:rFonts w:ascii="楷体" w:hAnsi="楷体" w:eastAsia="楷体" w:cs="Kaiti SC"/>
          <w:sz w:val="24"/>
        </w:rPr>
        <w:t>01</w:t>
      </w:r>
      <w:r>
        <w:rPr>
          <w:color w:val="000000"/>
          <w:kern w:val="2"/>
          <w:rFonts w:ascii="楷体" w:hAnsi="楷体" w:eastAsia="楷体" w:cs="Kaiti SC"/>
          <w:sz w:val="24"/>
        </w:rPr>
        <w:t xml:space="preserve"> 月 1</w:t>
      </w:r>
      <w:r>
        <w:rPr>
          <w:color w:val="000000"/>
          <w:kern w:val="2"/>
          <w:rFonts w:ascii="楷体" w:hAnsi="楷体" w:eastAsia="楷体" w:cs="Kaiti SC"/>
          <w:sz w:val="24"/>
        </w:rPr>
        <w:t>4</w:t>
      </w:r>
      <w:r>
        <w:rPr>
          <w:color w:val="000000"/>
          <w:kern w:val="2"/>
          <w:rFonts w:ascii="楷体" w:hAnsi="楷体" w:eastAsia="楷体" w:cs="Kaiti SC"/>
          <w:sz w:val="24"/>
        </w:rPr>
        <w:t xml:space="preserve"> 日在协会备案。</w:t>
      </w:r>
      <w:r>
        <w:rPr>
          <w:color w:val="000000"/>
          <w:kern w:val="2"/>
          <w:rFonts w:ascii="楷体" w:hAnsi="楷体" w:eastAsia="楷体" w:cs="Kaiti SC"/>
          <w:sz w:val="24"/>
        </w:rPr>
        <w:t>非</w:t>
      </w:r>
      <w:r>
        <w:rPr>
          <w:color w:val="000000"/>
          <w:kern w:val="2"/>
          <w:rFonts w:ascii="楷体" w:hAnsi="楷体" w:eastAsia="楷体" w:cs="Kaiti SC"/>
          <w:sz w:val="24"/>
        </w:rPr>
        <w:t>协会会员，</w:t>
      </w:r>
      <w:r>
        <w:rPr>
          <w:color w:val="000000"/>
          <w:kern w:val="2"/>
          <w:rFonts w:ascii="楷体" w:hAnsi="楷体" w:eastAsia="楷体" w:cs="Kaiti SC"/>
          <w:sz w:val="24"/>
        </w:rPr>
        <w:t>没有投顾资质。</w:t>
      </w:r>
      <w:r>
        <w:rPr>
          <w:color w:val="000000"/>
          <w:kern w:val="2"/>
          <w:rFonts w:ascii="楷体" w:hAnsi="楷体" w:eastAsia="楷体" w:cs="Kaiti SC"/>
          <w:sz w:val="24"/>
        </w:rPr>
        <w:t xml:space="preserve">目前管理 </w:t>
      </w:r>
      <w:r>
        <w:rPr>
          <w:color w:val="000000"/>
          <w:kern w:val="2"/>
          <w:rFonts w:ascii="楷体" w:hAnsi="楷体" w:eastAsia="楷体" w:cs="Kaiti SC"/>
          <w:sz w:val="24"/>
        </w:rPr>
        <w:t>2.8</w:t>
      </w:r>
      <w:r>
        <w:rPr>
          <w:color w:val="000000"/>
          <w:kern w:val="2"/>
          <w:rFonts w:ascii="楷体" w:hAnsi="楷体" w:eastAsia="楷体" w:cs="Kaiti SC"/>
          <w:sz w:val="24"/>
        </w:rPr>
        <w:t>亿。其中</w:t>
      </w:r>
      <w:r>
        <w:rPr>
          <w:color w:val="000000"/>
          <w:kern w:val="2"/>
          <w:rFonts w:ascii="楷体" w:hAnsi="楷体" w:eastAsia="楷体" w:cs="Kaiti SC"/>
          <w:sz w:val="24"/>
        </w:rPr>
        <w:t>7000万为500指增，3000万的自营策略，以及1.8亿的量化多头</w:t>
      </w:r>
      <w:r>
        <w:rPr>
          <w:color w:val="000000"/>
          <w:kern w:val="2"/>
          <w:rFonts w:ascii="楷体" w:hAnsi="楷体" w:eastAsia="楷体" w:cs="Kaiti SC"/>
          <w:sz w:val="24"/>
        </w:rPr>
        <w:t>。</w:t>
      </w:r>
    </w:p>
    <w:p>
      <w:pPr>
        <w:jc w:val="left"/>
        <w:numPr>
          <w:ilvl w:val="0"/>
          <w:numId w:val="1"/>
        </w:numPr>
        <w:rPr>
          <w:b w:val="1"/>
          <w:rFonts w:ascii="楷体" w:hAnsi="楷体" w:eastAsia="楷体" w:cs="Kaiti SC Regular"/>
          <w:sz w:val="24"/>
        </w:rPr>
      </w:pPr>
      <w:r>
        <w:rPr>
          <w:b w:val="1"/>
          <w:rFonts w:hint="eastAsia" w:ascii="楷体" w:hAnsi="楷体" w:eastAsia="楷体" w:cs="Kaiti SC Regular"/>
          <w:sz w:val="24"/>
        </w:rPr>
        <w:t>股东情况：</w:t>
      </w:r>
    </w:p>
    <w:p>
      <w:pPr>
        <w:ind w:firstLine="420" w:left="420"/>
        <w:jc w:val="left"/>
        <w:rPr>
          <w:rFonts w:ascii="楷体" w:hAnsi="楷体" w:eastAsia="楷体" w:cs="Kaiti SC Regular"/>
          <w:sz w:val="24"/>
        </w:rPr>
      </w:pPr>
      <w:r>
        <w:rPr>
          <w:color w:val="000000"/>
          <w:rFonts w:hint="eastAsia" w:ascii="楷体" w:hAnsi="楷体" w:eastAsia="楷体" w:cs="Kaiti SC Regular"/>
          <w:sz w:val="24"/>
        </w:rPr>
        <w:t>公司注册资本1000万，100%实缴，</w:t>
      </w:r>
      <w:r>
        <w:rPr>
          <w:color w:val="000000"/>
          <w:rFonts w:hint="eastAsia" w:ascii="楷体" w:hAnsi="楷体" w:eastAsia="楷体" w:cs="Kaiti SC Regular"/>
          <w:sz w:val="24"/>
        </w:rPr>
        <w:t>公司创始人兼投研总监季保安持股</w:t>
      </w:r>
      <w:r>
        <w:rPr>
          <w:color w:val="000000"/>
          <w:rFonts w:hint="default" w:ascii="楷体" w:hAnsi="楷体" w:eastAsia="楷体" w:cs="Kaiti SC Regular"/>
          <w:sz w:val="24"/>
        </w:rPr>
        <w:t>40%，王荣兰</w:t>
      </w:r>
      <w:r>
        <w:rPr>
          <w:color w:val="000000"/>
          <w:lang w:val="en-US" w:bidi="en-US"/>
          <w:rFonts w:hint="eastAsia" w:ascii="楷体" w:hAnsi="楷体" w:eastAsia="楷体" w:cs="Kaiti SC Regular"/>
          <w:sz w:val="24"/>
        </w:rPr>
        <w:t>持股30%，</w:t>
      </w:r>
      <w:r>
        <w:rPr>
          <w:color w:val="000000"/>
          <w:lang w:val="en-US" w:bidi="en-US"/>
          <w:rFonts w:hint="eastAsia" w:ascii="楷体" w:hAnsi="楷体" w:eastAsia="楷体" w:cs="Kaiti SC Regular"/>
          <w:sz w:val="24"/>
        </w:rPr>
        <w:t>原宏波持股</w:t>
      </w:r>
      <w:r>
        <w:rPr>
          <w:color w:val="000000"/>
          <w:lang w:val="en-US" w:bidi="en-US"/>
          <w:rFonts w:hint="eastAsia" w:ascii="楷体" w:hAnsi="楷体" w:eastAsia="楷体" w:cs="Kaiti SC Regular"/>
          <w:sz w:val="24"/>
        </w:rPr>
        <w:t>1</w:t>
      </w:r>
      <w:r>
        <w:rPr>
          <w:color w:val="000000"/>
          <w:lang w:val="en-US" w:bidi="en-US"/>
          <w:rFonts w:hint="eastAsia" w:ascii="楷体" w:hAnsi="楷体" w:eastAsia="楷体" w:cs="Kaiti SC Regular"/>
          <w:sz w:val="24"/>
        </w:rPr>
        <w:t>0</w:t>
      </w:r>
      <w:r>
        <w:rPr>
          <w:color w:val="000000"/>
          <w:lang w:val="en-US" w:bidi="en-US"/>
          <w:rFonts w:hint="eastAsia" w:ascii="楷体" w:hAnsi="楷体" w:eastAsia="楷体" w:cs="Kaiti SC Regular"/>
          <w:sz w:val="24"/>
        </w:rPr>
        <w:t>%，王馨锋持股</w:t>
      </w:r>
      <w:r>
        <w:rPr>
          <w:color w:val="000000"/>
          <w:lang w:val="en-US" w:bidi="en-US"/>
          <w:rFonts w:hint="eastAsia" w:ascii="楷体" w:hAnsi="楷体" w:eastAsia="楷体" w:cs="Kaiti SC Regular"/>
          <w:sz w:val="24"/>
        </w:rPr>
        <w:t>5</w:t>
      </w:r>
      <w:r>
        <w:rPr>
          <w:color w:val="000000"/>
          <w:lang w:val="en-US" w:bidi="en-US"/>
          <w:rFonts w:hint="eastAsia" w:ascii="楷体" w:hAnsi="楷体" w:eastAsia="楷体" w:cs="Kaiti SC Regular"/>
          <w:sz w:val="24"/>
        </w:rPr>
        <w:t>%，田涛持股</w:t>
      </w:r>
      <w:r>
        <w:rPr>
          <w:color w:val="000000"/>
          <w:lang w:val="en-US" w:bidi="en-US"/>
          <w:rFonts w:hint="eastAsia" w:ascii="楷体" w:hAnsi="楷体" w:eastAsia="楷体" w:cs="Kaiti SC Regular"/>
          <w:sz w:val="24"/>
        </w:rPr>
        <w:t>5</w:t>
      </w:r>
      <w:r>
        <w:rPr>
          <w:color w:val="000000"/>
          <w:lang w:val="en-US" w:bidi="en-US"/>
          <w:rFonts w:hint="eastAsia" w:ascii="楷体" w:hAnsi="楷体" w:eastAsia="楷体" w:cs="Kaiti SC Regular"/>
          <w:sz w:val="24"/>
        </w:rPr>
        <w:t>%，李冠达持股</w:t>
      </w:r>
      <w:r>
        <w:rPr>
          <w:color w:val="000000"/>
          <w:lang w:val="en-US" w:bidi="en-US"/>
          <w:rFonts w:hint="eastAsia" w:ascii="楷体" w:hAnsi="楷体" w:eastAsia="楷体" w:cs="Kaiti SC Regular"/>
          <w:sz w:val="24"/>
        </w:rPr>
        <w:t>5</w:t>
      </w:r>
      <w:r>
        <w:rPr>
          <w:color w:val="000000"/>
          <w:lang w:val="en-US" w:bidi="en-US"/>
          <w:rFonts w:hint="eastAsia" w:ascii="楷体" w:hAnsi="楷体" w:eastAsia="楷体" w:cs="Kaiti SC Regular"/>
          <w:sz w:val="24"/>
        </w:rPr>
        <w:t>%，戴政持股</w:t>
      </w:r>
      <w:r>
        <w:rPr>
          <w:color w:val="000000"/>
          <w:lang w:val="en-US" w:bidi="en-US"/>
          <w:rFonts w:hint="eastAsia" w:ascii="楷体" w:hAnsi="楷体" w:eastAsia="楷体" w:cs="Kaiti SC Regular"/>
          <w:sz w:val="24"/>
        </w:rPr>
        <w:t>5</w:t>
      </w:r>
      <w:r>
        <w:rPr>
          <w:color w:val="000000"/>
          <w:lang w:val="en-US" w:bidi="en-US"/>
          <w:rFonts w:hint="eastAsia" w:ascii="楷体" w:hAnsi="楷体" w:eastAsia="楷体" w:cs="Kaiti SC Regular"/>
          <w:sz w:val="24"/>
        </w:rPr>
        <w:t>%</w:t>
      </w:r>
      <w:r>
        <w:rPr>
          <w:color w:val="000000"/>
          <w:lang w:val="en-US" w:bidi="en-US"/>
          <w:rFonts w:hint="eastAsia" w:ascii="楷体" w:hAnsi="楷体" w:eastAsia="楷体" w:cs="Kaiti SC Regular"/>
          <w:sz w:val="24"/>
        </w:rPr>
        <w:t>。</w:t>
      </w:r>
      <w:r>
        <w:rPr>
          <w:color w:val="000000"/>
          <w:lang w:val="en-US" w:bidi="en-US"/>
          <w:rFonts w:hint="eastAsia" w:ascii="楷体" w:hAnsi="楷体" w:eastAsia="楷体" w:cs="Kaiti SC Regular"/>
          <w:sz w:val="24"/>
        </w:rPr>
        <w:t>以上除了李冠达</w:t>
      </w:r>
      <w:r>
        <w:rPr>
          <w:color w:val="000000"/>
          <w:lang w:val="en-US" w:bidi="en-US"/>
          <w:rFonts w:hint="eastAsia" w:ascii="楷体" w:hAnsi="楷体" w:eastAsia="楷体" w:cs="Kaiti SC Regular"/>
          <w:sz w:val="24"/>
        </w:rPr>
        <w:t>和戴政</w:t>
      </w:r>
      <w:r>
        <w:rPr>
          <w:color w:val="000000"/>
          <w:lang w:val="en-US" w:bidi="en-US"/>
          <w:rFonts w:hint="eastAsia" w:ascii="楷体" w:hAnsi="楷体" w:eastAsia="楷体" w:cs="Kaiti SC Regular"/>
          <w:sz w:val="24"/>
        </w:rPr>
        <w:t>为公司投研外，</w:t>
      </w:r>
      <w:r>
        <w:rPr>
          <w:color w:val="000000"/>
          <w:rFonts w:hint="eastAsia" w:ascii="楷体" w:hAnsi="楷体" w:eastAsia="楷体" w:cs="Kaiti SC Regular"/>
          <w:sz w:val="24"/>
        </w:rPr>
        <w:t>其余均为公司财务投资人。</w:t>
      </w:r>
    </w:p>
    <w:p>
      <w:pPr>
        <w:jc w:val="left"/>
        <w:numPr>
          <w:ilvl w:val="0"/>
          <w:numId w:val="1"/>
        </w:numPr>
        <w:rPr>
          <w:b w:val="1"/>
          <w:rFonts w:ascii="楷体" w:hAnsi="楷体" w:eastAsia="楷体" w:cs="Kaiti SC Regular"/>
          <w:sz w:val="24"/>
        </w:rPr>
      </w:pPr>
      <w:r>
        <w:rPr>
          <w:b w:val="1"/>
          <w:rFonts w:hint="eastAsia" w:ascii="楷体" w:hAnsi="楷体" w:eastAsia="楷体" w:cs="Kaiti SC Regular"/>
          <w:sz w:val="24"/>
        </w:rPr>
        <w:t>组织架</w:t>
      </w:r>
      <w:r>
        <w:rPr>
          <w:b w:val="1"/>
          <w:color w:val="000000"/>
          <w:rFonts w:hint="eastAsia" w:ascii="楷体" w:hAnsi="楷体" w:eastAsia="楷体" w:cs="Kaiti SC Regular"/>
          <w:sz w:val="24"/>
        </w:rPr>
        <w:t>构：</w:t>
      </w:r>
    </w:p>
    <w:p>
      <w:pPr>
        <w:ind w:firstLine="420" w:left="420"/>
        <w:jc w:val="left"/>
        <w:rPr>
          <w:rFonts w:ascii="楷体" w:hAnsi="楷体" w:eastAsia="楷体" w:cs="Kaiti SC Regular"/>
          <w:sz w:val="24"/>
        </w:rPr>
      </w:pPr>
      <w:r>
        <w:rPr>
          <w:color w:val="000000"/>
          <w:rFonts w:hint="eastAsia" w:ascii="楷体" w:hAnsi="楷体" w:eastAsia="楷体" w:cs="Kaiti SC Regular"/>
          <w:sz w:val="24"/>
        </w:rPr>
        <w:t>总人数</w:t>
      </w:r>
      <w:r>
        <w:rPr>
          <w:color w:val="000000"/>
          <w:rFonts w:hint="default" w:ascii="楷体" w:hAnsi="楷体" w:eastAsia="楷体" w:cs="Kaiti SC Regular"/>
          <w:sz w:val="24"/>
        </w:rPr>
        <w:t>6</w:t>
      </w:r>
      <w:r>
        <w:rPr>
          <w:color w:val="000000"/>
          <w:rFonts w:hint="eastAsia" w:ascii="楷体" w:hAnsi="楷体" w:eastAsia="楷体" w:cs="Kaiti SC Regular"/>
          <w:sz w:val="24"/>
        </w:rPr>
        <w:t>人，其中基金经理</w:t>
      </w:r>
      <w:r>
        <w:rPr>
          <w:color w:val="000000"/>
          <w:rFonts w:hint="default" w:ascii="楷体" w:hAnsi="楷体" w:eastAsia="楷体" w:cs="Kaiti SC Regular"/>
          <w:sz w:val="24"/>
        </w:rPr>
        <w:t>1</w:t>
      </w:r>
      <w:r>
        <w:rPr>
          <w:color w:val="000000"/>
          <w:rFonts w:hint="eastAsia" w:ascii="楷体" w:hAnsi="楷体" w:eastAsia="楷体" w:cs="Kaiti SC Regular"/>
          <w:sz w:val="24"/>
        </w:rPr>
        <w:t>人，为季保安，</w:t>
      </w:r>
      <w:r>
        <w:rPr>
          <w:color w:val="000000"/>
          <w:rFonts w:hint="default" w:ascii="楷体" w:hAnsi="楷体" w:eastAsia="楷体" w:cs="Kaiti SC Regular"/>
          <w:sz w:val="24"/>
        </w:rPr>
        <w:t>4位投研。财务1人，同时兼职风控。</w:t>
      </w:r>
    </w:p>
    <w:p>
      <w:pPr>
        <w:ind w:firstLine="420" w:left="420"/>
        <w:jc w:val="left"/>
        <w:rPr>
          <w:color w:val="FF0000"/>
          <w:rFonts w:ascii="楷体" w:hAnsi="楷体" w:eastAsia="楷体" w:cs="Kaiti SC Regular"/>
          <w:sz w:val="24"/>
        </w:rPr>
      </w:pPr>
      <w:r>
        <w:rPr>
          <w:color w:val="000000"/>
          <w:rFonts w:hint="eastAsia" w:ascii="楷体" w:hAnsi="楷体" w:eastAsia="楷体" w:cs="Kaiti SC Regular"/>
          <w:sz w:val="24"/>
        </w:rPr>
        <w:t>分工方面，</w:t>
      </w:r>
      <w:r>
        <w:rPr>
          <w:rFonts w:hint="eastAsia" w:ascii="楷体" w:hAnsi="楷体" w:eastAsia="楷体" w:cs="Kaiti SC Regular"/>
          <w:sz w:val="24"/>
        </w:rPr>
        <w:t>季保安为投研总监，带领几个研究员并分配研究任务，均为清华大学的校友</w:t>
      </w:r>
      <w:r>
        <w:rPr>
          <w:color w:val="000000"/>
          <w:rFonts w:hint="eastAsia" w:ascii="楷体" w:hAnsi="楷体" w:eastAsia="楷体" w:cs="Kaiti SC Regular"/>
          <w:sz w:val="24"/>
        </w:rPr>
        <w:t>。</w:t>
      </w:r>
    </w:p>
    <w:p>
      <w:pPr>
        <w:jc w:val="left"/>
        <w:numPr>
          <w:ilvl w:val="0"/>
          <w:numId w:val="1"/>
        </w:numPr>
        <w:rPr>
          <w:b w:val="1"/>
          <w:rFonts w:ascii="楷体" w:hAnsi="楷体" w:eastAsia="楷体" w:cs="Kaiti SC Regular"/>
          <w:sz w:val="24"/>
        </w:rPr>
      </w:pPr>
      <w:r>
        <w:rPr>
          <w:b w:val="1"/>
          <w:rFonts w:hint="eastAsia" w:ascii="楷体" w:hAnsi="楷体" w:eastAsia="楷体" w:cs="Kaiti SC Regular"/>
          <w:sz w:val="24"/>
        </w:rPr>
        <w:t>核心人员背景：</w:t>
      </w:r>
    </w:p>
    <w:p>
      <w:pPr>
        <w:jc w:val="left"/>
        <w:numPr>
          <w:ilvl w:val="0"/>
          <w:numId w:val="2"/>
        </w:numPr>
        <w:rPr>
          <w:rFonts w:ascii="楷体" w:hAnsi="楷体" w:eastAsia="楷体" w:cs="Kaiti SC Regular"/>
          <w:sz w:val="24"/>
        </w:rPr>
      </w:pPr>
      <w:r>
        <w:rPr>
          <w:color w:val="000000"/>
          <w:rFonts w:hint="eastAsia" w:ascii="楷体" w:hAnsi="楷体" w:eastAsia="楷体" w:cs="Kaiti SC Regular"/>
          <w:sz w:val="24"/>
        </w:rPr>
        <w:t>季保安（创始人，投研总监）：本科毕业于清华大学经济学，研究生毕业于中国科学院金融专业</w:t>
      </w:r>
      <w:r>
        <w:rPr>
          <w:color w:val="000000"/>
          <w:rFonts w:hint="eastAsia" w:ascii="楷体" w:hAnsi="楷体" w:eastAsia="楷体" w:cs="Kaiti SC Regular"/>
          <w:sz w:val="24"/>
        </w:rPr>
        <w:t>。</w:t>
      </w:r>
      <w:r>
        <w:rPr>
          <w:color w:val="000000"/>
          <w:rFonts w:hint="default" w:ascii="楷体" w:hAnsi="楷体" w:eastAsia="楷体" w:cs="Kaiti SC Regular"/>
          <w:sz w:val="24"/>
        </w:rPr>
        <w:t xml:space="preserve">2005 - 2006 在北京三利医药管理有限公司管理部担任总经理助理。2006-2007 在国金证券市场部任营销总监。2007 - 2010 加入国金期货北京营业部担任运营总监。2010-2013 回到国金证券机构业务部担任总经理。2013 - 2015到华创证券财富管理部担任投顾主任。后2015年9月创建涌金春生，同时2015 - 2019 在</w:t>
      </w:r>
      <w:r>
        <w:rPr>
          <w:b w:val="0"/>
          <w:color w:val="000000"/>
          <w:dstrike w:val="0"/>
          <w:i w:val="0"/>
          <w:kern w:val="2"/>
          <w:lang w:val="en-US" w:bidi="en-US"/>
          <w:rFonts w:hint="default" w:ascii="楷体" w:hAnsi="楷体" w:eastAsia="楷体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北京中科聚源投资咨询中心（有限合伙）投资部担任投资总监。</w:t>
      </w:r>
    </w:p>
    <w:p>
      <w:pPr>
        <w:jc w:val="left"/>
        <w:numPr>
          <w:ilvl w:val="0"/>
          <w:numId w:val="3"/>
        </w:numPr>
        <w:rPr>
          <w:rFonts w:ascii="楷体" w:hAnsi="楷体" w:eastAsia="楷体" w:cs="Kaiti SC Regular"/>
          <w:sz w:val="24"/>
        </w:rPr>
      </w:pPr>
      <w:r>
        <w:rPr>
          <w:rFonts w:hint="eastAsia" w:ascii="楷体" w:hAnsi="楷体" w:eastAsia="楷体" w:cs="Kaiti SC Regular"/>
          <w:sz w:val="24"/>
        </w:rPr>
        <w:t>其他人员背景：</w:t>
      </w:r>
    </w:p>
    <w:p>
      <w:pPr>
        <w:ind w:firstLine="420" w:left="420"/>
        <w:jc w:val="left"/>
        <w:rPr>
          <w:rFonts w:ascii="楷体" w:hAnsi="楷体" w:eastAsia="楷体" w:cs="Kaiti SC Regular"/>
          <w:sz w:val="24"/>
        </w:rPr>
      </w:pPr>
      <w:r>
        <w:rPr>
          <w:rFonts w:hint="eastAsia" w:ascii="楷体" w:hAnsi="楷体" w:eastAsia="楷体" w:cs="Kaiti SC Regular"/>
          <w:sz w:val="24"/>
        </w:rPr>
        <w:t>无。</w:t>
      </w:r>
    </w:p>
    <w:p>
      <w:pPr>
        <w:jc w:val="left"/>
        <w:rPr>
          <w:rFonts w:ascii="楷体" w:hAnsi="楷体" w:eastAsia="楷体" w:cs="Kaiti SC Regular"/>
          <w:sz w:val="24"/>
        </w:rPr>
      </w:pPr>
    </w:p>
    <w:p>
      <w:pPr>
        <w:pStyle w:val="6"/>
        <w:rPr>
          <w:b w:val="0"/>
          <w:rFonts w:ascii="楷体" w:hAnsi="楷体" w:eastAsia="楷体"/>
          <w:sz w:val="24"/>
        </w:rPr>
      </w:pPr>
      <w:r>
        <w:rPr>
          <w:b w:val="0"/>
          <w:rFonts w:ascii="楷体" w:hAnsi="楷体" w:eastAsia="楷体"/>
        </w:rPr>
        <w:t>投资策略</w:t>
      </w:r>
    </w:p>
    <w:p>
      <w:pPr>
        <w:jc w:val="left"/>
        <w:numPr>
          <w:ilvl w:val="0"/>
          <w:numId w:val="3"/>
        </w:numPr>
        <w:rPr>
          <w:rFonts w:ascii="楷体" w:hAnsi="楷体" w:eastAsia="楷体" w:cs="Kaiti SC Regular"/>
          <w:sz w:val="24"/>
        </w:rPr>
      </w:pPr>
      <w:r>
        <w:rPr>
          <w:rFonts w:hint="eastAsia" w:ascii="楷体" w:hAnsi="楷体" w:eastAsia="楷体" w:cs="Kaiti SC Regular"/>
          <w:sz w:val="24"/>
        </w:rPr>
        <w:t>策略分类：</w:t>
      </w:r>
    </w:p>
    <w:p>
      <w:pPr>
        <w:ind w:firstLine="420" w:left="420"/>
        <w:jc w:val="left"/>
        <w:rPr>
          <w:rFonts w:hint="default" w:ascii="楷体" w:hAnsi="楷体" w:eastAsia="楷体" w:cs="Kaiti SC Regular"/>
          <w:sz w:val="24"/>
        </w:rPr>
      </w:pPr>
      <w:r>
        <w:rPr>
          <w:rFonts w:hint="eastAsia" w:ascii="楷体" w:hAnsi="楷体" w:eastAsia="楷体" w:cs="Kaiti SC Regular"/>
          <w:sz w:val="24"/>
        </w:rPr>
        <w:t xml:space="preserve">量化多头 </w:t>
      </w:r>
      <w:r>
        <w:rPr>
          <w:rFonts w:hint="default" w:ascii="楷体" w:hAnsi="楷体" w:eastAsia="楷体" w:cs="Kaiti SC Regular"/>
          <w:sz w:val="24"/>
        </w:rPr>
        <w:t xml:space="preserve">- 500指增</w:t>
      </w:r>
    </w:p>
    <w:p>
      <w:pPr>
        <w:ind w:firstLine="420" w:left="420"/>
        <w:jc w:val="left"/>
        <w:rPr>
          <w:b w:val="0"/>
          <w:i w:val="0"/>
          <w:rFonts w:ascii="楷体" w:hAnsi="楷体" w:eastAsia="楷体" w:cs="Kaiti SC Regular"/>
          <w:sz w:val="24"/>
        </w:rPr>
      </w:pPr>
      <w:r>
        <w:rPr>
          <w:rFonts w:hint="default" w:ascii="楷体" w:hAnsi="楷体" w:eastAsia="楷体" w:cs="Kaiti SC Regular"/>
          <w:sz w:val="24"/>
        </w:rPr>
        <w:t xml:space="preserve">量化多头 - 量化选股</w:t>
      </w:r>
    </w:p>
    <w:p>
      <w:pPr>
        <w:jc w:val="left"/>
        <w:numPr>
          <w:ilvl w:val="0"/>
          <w:numId w:val="3"/>
        </w:numPr>
        <w:rPr>
          <w:rFonts w:ascii="楷体" w:hAnsi="楷体" w:eastAsia="楷体" w:cs="Kaiti SC Regular"/>
          <w:sz w:val="24"/>
        </w:rPr>
      </w:pPr>
      <w:r>
        <w:rPr>
          <w:rFonts w:hint="eastAsia" w:ascii="楷体" w:hAnsi="楷体" w:eastAsia="楷体" w:cs="Kaiti SC Regular"/>
          <w:sz w:val="24"/>
        </w:rPr>
        <w:t>大类资产配置：</w:t>
      </w:r>
    </w:p>
    <w:p>
      <w:pPr>
        <w:ind w:firstLine="420" w:left="420"/>
        <w:jc w:val="left"/>
        <w:rPr>
          <w:rFonts w:ascii="楷体" w:hAnsi="楷体" w:eastAsia="楷体" w:cs="Kaiti SC Regular"/>
          <w:sz w:val="24"/>
        </w:rPr>
      </w:pPr>
      <w:r>
        <w:rPr>
          <w:rFonts w:hint="eastAsia" w:ascii="楷体" w:hAnsi="楷体" w:eastAsia="楷体" w:cs="Kaiti SC Regular"/>
          <w:sz w:val="24"/>
        </w:rPr>
        <w:t>股指ETF，A股</w:t>
      </w:r>
    </w:p>
    <w:p>
      <w:pPr>
        <w:jc w:val="left"/>
        <w:numPr>
          <w:ilvl w:val="0"/>
          <w:numId w:val="3"/>
        </w:numPr>
        <w:rPr>
          <w:rFonts w:ascii="楷体" w:hAnsi="楷体" w:eastAsia="楷体" w:cs="Kaiti SC Regular"/>
          <w:sz w:val="24"/>
        </w:rPr>
      </w:pPr>
      <w:r>
        <w:rPr>
          <w:rFonts w:hint="eastAsia" w:ascii="楷体" w:hAnsi="楷体" w:eastAsia="楷体" w:cs="Kaiti SC Regular"/>
          <w:sz w:val="24"/>
        </w:rPr>
        <w:t>配置逻辑：</w:t>
      </w:r>
    </w:p>
    <w:p>
      <w:pPr>
        <w:ind w:firstLine="420" w:left="420"/>
        <w:jc w:val="left"/>
        <w:rPr>
          <w:color w:val="000000"/>
          <w:rFonts w:hint="default" w:ascii="楷体" w:hAnsi="楷体" w:eastAsia="楷体" w:cs="Kaiti SC Regular"/>
          <w:sz w:val="24"/>
        </w:rPr>
      </w:pPr>
      <w:r>
        <w:rPr>
          <w:color w:val="000000"/>
          <w:rFonts w:hint="eastAsia" w:ascii="楷体" w:hAnsi="楷体" w:eastAsia="楷体" w:cs="Kaiti SC Regular"/>
          <w:sz w:val="24"/>
        </w:rPr>
        <w:t>管理人</w:t>
      </w:r>
      <w:r>
        <w:rPr>
          <w:color w:val="000000"/>
          <w:rFonts w:hint="eastAsia" w:ascii="楷体" w:hAnsi="楷体" w:eastAsia="楷体" w:cs="Kaiti SC Regular"/>
          <w:sz w:val="24"/>
        </w:rPr>
        <w:t>的策略分为两大部分</w:t>
      </w:r>
      <w:r>
        <w:rPr>
          <w:color w:val="000000"/>
          <w:rFonts w:hint="default" w:ascii="楷体" w:hAnsi="楷体" w:eastAsia="楷体" w:cs="Kaiti SC Regular"/>
          <w:sz w:val="24"/>
        </w:rPr>
        <w:t xml:space="preserve">：1. 一个大盘择时量化模型</w:t>
      </w:r>
      <w:r>
        <w:rPr>
          <w:color w:val="000000"/>
          <w:rFonts w:hint="eastAsia" w:ascii="楷体" w:hAnsi="楷体" w:eastAsia="楷体" w:cs="Kaiti SC Regular"/>
          <w:sz w:val="24"/>
        </w:rPr>
        <w:t>。</w:t>
      </w:r>
      <w:r>
        <w:rPr>
          <w:color w:val="000000"/>
          <w:rFonts w:hint="default" w:ascii="楷体" w:hAnsi="楷体" w:eastAsia="楷体" w:cs="Kaiti SC Regular"/>
          <w:sz w:val="24"/>
        </w:rPr>
        <w:t xml:space="preserve">2. 一个多因子选股模型。管理人的三条策略线均为这两个模型的衍生：500 指增为大盘择时+多因子选股模型，本质上其实是一个择时对冲。量化多头上，继续细分两个产品线：一个是只用大盘择时模型去交易500 指数 ETF，另一个则是只使用多因子选股模型进行选股。可以把策略线看成两个子策略的排列组合。</w:t>
      </w:r>
    </w:p>
    <w:p>
      <w:pPr>
        <w:ind w:firstLine="420" w:left="420"/>
        <w:jc w:val="left"/>
        <w:rPr>
          <w:color w:val="000000"/>
          <w:rFonts w:hint="default" w:ascii="楷体" w:hAnsi="楷体" w:eastAsia="楷体" w:cs="Kaiti SC Regular"/>
          <w:sz w:val="24"/>
        </w:rPr>
      </w:pPr>
      <w:r>
        <w:rPr>
          <w:color w:val="000000"/>
          <w:rFonts w:hint="default" w:ascii="楷体" w:hAnsi="楷体" w:eastAsia="楷体" w:cs="Kaiti SC Regular"/>
          <w:sz w:val="24"/>
        </w:rPr>
        <w:t xml:space="preserve">大盘择时模型上，管理人表示一般不对外展示，但大致上是通过十年来不断挖掘的一系列约 100 多个另类因子，判断大盘的顶部和底部。多因子选股模型上，目前有 300 多个因子，这部分因子均为逻辑手工挖掘的因子。此外，还有一个遗传算法会不断的根据现有的因子进行合成。目前的因子组成上，基本面因子占 60%，量价类占 40%，量价类因子以资金流因子为主。为了提高基本面因子的频率，管理人会在企业的业绩快报和业绩预告上开发因子。因子挖掘上，管理人表示新的因子灵感目前来自一些券商研报，会对研报的因子进行复现和改进，添加进因子池中。通过因子持有一篮子股票约 300 只，最高不超过 500 只，非满仓，具体个数和仓位由大盘择时模型决定：举例来说，当大盘发出看多信号时，模型会满仓，同时持有更多的个股；当大盘发出看空，则会在持有更少个股的情况下，降低仓位，同时用相同头寸的股指期货进行对冲。</w:t>
      </w:r>
    </w:p>
    <w:p>
      <w:pPr>
        <w:ind w:firstLine="420" w:left="420"/>
        <w:jc w:val="left"/>
        <w:rPr>
          <w:color w:val="000000"/>
          <w:rFonts w:hint="default" w:ascii="楷体" w:hAnsi="楷体" w:eastAsia="楷体" w:cs="Kaiti SC Regular"/>
          <w:sz w:val="24"/>
        </w:rPr>
      </w:pPr>
      <w:r>
        <w:rPr>
          <w:color w:val="000000"/>
          <w:rFonts w:hint="default" w:ascii="楷体" w:hAnsi="楷体" w:eastAsia="楷体" w:cs="Kaiti SC Regular"/>
          <w:sz w:val="24"/>
        </w:rPr>
        <w:t xml:space="preserve">管理人表示，因为两套系统相对独立，在策略早期由于动态调整能力不佳，遇到过相互之间匹配程度较差的情况，有时会出现择股较好，但因为择时系统判断错误，直接把仓位降下去了的情况；或是择时过于频繁，无法与多因子选股的频率对齐等。但管理人表示，目前经过两年多的磨合，两个模型已经能够较好的协同运作。目前的因子更新上，主要关注新因子的多空收益和相关性，规定多空收益的相关性需与其他因子的多空收益小于 0.2，以及新因子与大盘择时模型的兼容程度。管理人表示大盘择时模型目前已经较为完善，以小修小补为主，短期内没有大的更新计划。</w:t>
      </w:r>
    </w:p>
    <w:p>
      <w:pPr>
        <w:ind w:firstLine="420" w:left="420"/>
        <w:jc w:val="left"/>
        <w:rPr>
          <w:color w:val="000000"/>
          <w:rFonts w:ascii="楷体" w:hAnsi="楷体" w:eastAsia="楷体" w:cs="Kaiti SC Regular"/>
          <w:sz w:val="24"/>
        </w:rPr>
      </w:pPr>
    </w:p>
    <w:p>
      <w:pPr>
        <w:jc w:val="left"/>
        <w:numPr>
          <w:ilvl w:val="0"/>
          <w:numId w:val="3"/>
        </w:numPr>
        <w:rPr>
          <w:rFonts w:ascii="楷体" w:hAnsi="楷体" w:eastAsia="楷体" w:cs="Kaiti SC Regular"/>
          <w:sz w:val="24"/>
        </w:rPr>
      </w:pPr>
      <w:r>
        <w:rPr>
          <w:rFonts w:hint="eastAsia" w:ascii="楷体" w:hAnsi="楷体" w:eastAsia="楷体" w:cs="Kaiti SC Regular"/>
          <w:sz w:val="24"/>
        </w:rPr>
        <w:t>持仓特征：</w:t>
      </w:r>
    </w:p>
    <w:p>
      <w:pPr>
        <w:ind w:firstLine="420" w:left="420"/>
        <w:jc w:val="left"/>
        <w:rPr>
          <w:rFonts w:ascii="楷体" w:hAnsi="楷体" w:eastAsia="楷体" w:cs="Kaiti SC Regular"/>
          <w:sz w:val="24"/>
        </w:rPr>
      </w:pPr>
      <w:r>
        <w:rPr>
          <w:rFonts w:hint="eastAsia" w:ascii="楷体" w:hAnsi="楷体" w:eastAsia="楷体" w:cs="Kaiti SC Regular"/>
          <w:sz w:val="24"/>
        </w:rPr>
        <w:t xml:space="preserve">分散持有 </w:t>
      </w:r>
      <w:r>
        <w:rPr>
          <w:rFonts w:hint="default" w:ascii="楷体" w:hAnsi="楷体" w:eastAsia="楷体" w:cs="Kaiti SC Regular"/>
          <w:sz w:val="24"/>
        </w:rPr>
        <w:t>3</w:t>
      </w:r>
      <w:r>
        <w:rPr>
          <w:rFonts w:hint="default" w:ascii="楷体" w:hAnsi="楷体" w:eastAsia="楷体" w:cs="Kaiti SC Regular"/>
          <w:sz w:val="24"/>
        </w:rPr>
        <w:t xml:space="preserve">00-500 个标的</w:t>
      </w:r>
      <w:r>
        <w:rPr>
          <w:rFonts w:hint="default" w:ascii="楷体" w:hAnsi="楷体" w:eastAsia="楷体" w:cs="Kaiti SC Regular"/>
          <w:sz w:val="24"/>
        </w:rPr>
        <w:t>。指数内持仓70%</w:t>
      </w:r>
      <w:r>
        <w:rPr>
          <w:rFonts w:hint="default" w:ascii="楷体" w:hAnsi="楷体" w:eastAsia="楷体" w:cs="Kaiti SC Regular"/>
          <w:sz w:val="24"/>
        </w:rPr>
        <w:t>。完全控制行业偏离度，即与中证500指数行业完全对标，正负误差1%以内。风格暴露上，除了barra因子外，管理人自己根据A股交易经验，添加了另外几个自研的风险因子，控制不超过±5%。同时会根据大盘择时模型发出的信号，在发出空头信号时，多头端1：1对冲。</w:t>
      </w:r>
    </w:p>
    <w:p>
      <w:pPr>
        <w:jc w:val="left"/>
        <w:numPr>
          <w:ilvl w:val="0"/>
          <w:numId w:val="3"/>
        </w:numPr>
        <w:rPr>
          <w:rFonts w:ascii="楷体" w:hAnsi="楷体" w:eastAsia="楷体" w:cs="Kaiti SC Regular"/>
          <w:sz w:val="24"/>
        </w:rPr>
      </w:pPr>
      <w:r>
        <w:rPr>
          <w:rFonts w:hint="eastAsia" w:ascii="楷体" w:hAnsi="楷体" w:eastAsia="楷体" w:cs="Kaiti SC Regular"/>
          <w:sz w:val="24"/>
        </w:rPr>
        <w:t>交易风格：</w:t>
      </w:r>
    </w:p>
    <w:p>
      <w:pPr>
        <w:ind w:firstLine="420" w:left="420"/>
        <w:jc w:val="left"/>
        <w:rPr>
          <w:color w:val="000000"/>
          <w:rFonts w:ascii="楷体" w:hAnsi="楷体" w:eastAsia="楷体" w:cs="Kaiti SC Regular"/>
          <w:sz w:val="24"/>
        </w:rPr>
      </w:pPr>
      <w:r>
        <w:rPr>
          <w:color w:val="000000"/>
          <w:rFonts w:hint="eastAsia" w:ascii="楷体" w:hAnsi="楷体" w:eastAsia="楷体" w:cs="Kaiti SC Regular"/>
          <w:sz w:val="24"/>
        </w:rPr>
        <w:t>非满仓运行，年换手率</w:t>
      </w:r>
      <w:r>
        <w:rPr>
          <w:color w:val="000000"/>
          <w:rFonts w:hint="default" w:ascii="楷体" w:hAnsi="楷体" w:eastAsia="楷体" w:cs="Kaiti SC Regular"/>
          <w:sz w:val="24"/>
        </w:rPr>
        <w:t>10倍</w:t>
      </w:r>
      <w:r>
        <w:rPr>
          <w:color w:val="000000"/>
          <w:rFonts w:hint="eastAsia" w:ascii="楷体" w:hAnsi="楷体" w:eastAsia="楷体" w:cs="Kaiti SC Regular"/>
          <w:sz w:val="24"/>
        </w:rPr>
        <w:t>。</w:t>
      </w:r>
    </w:p>
    <w:p>
      <w:pPr>
        <w:jc w:val="left"/>
        <w:numPr>
          <w:ilvl w:val="0"/>
          <w:numId w:val="3"/>
        </w:numPr>
        <w:rPr>
          <w:rFonts w:ascii="楷体" w:hAnsi="楷体" w:eastAsia="楷体" w:cs="Kaiti SC Regular"/>
          <w:sz w:val="24"/>
        </w:rPr>
      </w:pPr>
      <w:r>
        <w:rPr>
          <w:rFonts w:hint="eastAsia" w:ascii="楷体" w:hAnsi="楷体" w:eastAsia="楷体" w:cs="Kaiti SC Regular"/>
          <w:sz w:val="24"/>
        </w:rPr>
        <w:t>容量</w:t>
      </w:r>
      <w:r>
        <w:rPr>
          <w:color w:val="000000"/>
          <w:rFonts w:hint="eastAsia" w:ascii="楷体" w:hAnsi="楷体" w:eastAsia="楷体" w:cs="Kaiti SC Regular"/>
          <w:sz w:val="24"/>
        </w:rPr>
        <w:t>：</w:t>
      </w:r>
    </w:p>
    <w:p>
      <w:pPr>
        <w:ind w:firstLine="420" w:left="420"/>
        <w:jc w:val="left"/>
        <w:rPr>
          <w:rFonts w:ascii="楷体" w:hAnsi="楷体" w:eastAsia="楷体" w:cs="Kaiti SC Regular"/>
          <w:sz w:val="24"/>
        </w:rPr>
      </w:pPr>
      <w:r>
        <w:rPr>
          <w:rFonts w:hint="default" w:ascii="楷体" w:hAnsi="楷体" w:eastAsia="楷体" w:cs="Kaiti SC Regular"/>
          <w:sz w:val="24"/>
        </w:rPr>
        <w:t>20亿</w:t>
      </w:r>
      <w:r>
        <w:rPr>
          <w:rFonts w:hint="eastAsia" w:ascii="楷体" w:hAnsi="楷体" w:eastAsia="楷体" w:cs="Kaiti SC Regular"/>
          <w:sz w:val="24"/>
        </w:rPr>
        <w:t>。</w:t>
      </w:r>
    </w:p>
    <w:p>
      <w:pPr>
        <w:jc w:val="left"/>
        <w:rPr>
          <w:rFonts w:ascii="楷体" w:hAnsi="楷体" w:eastAsia="楷体" w:cs="Kaiti SC Regular"/>
          <w:sz w:val="24"/>
        </w:rPr>
      </w:pPr>
    </w:p>
    <w:p>
      <w:pPr>
        <w:pStyle w:val="6"/>
        <w:rPr>
          <w:b w:val="0"/>
          <w:rFonts w:ascii="楷体" w:hAnsi="楷体" w:eastAsia="楷体"/>
          <w:sz w:val="24"/>
        </w:rPr>
      </w:pPr>
      <w:r>
        <w:rPr>
          <w:b w:val="0"/>
          <w:rFonts w:ascii="楷体" w:hAnsi="楷体" w:eastAsia="楷体"/>
        </w:rPr>
        <w:t>风险控制</w:t>
      </w:r>
    </w:p>
    <w:p>
      <w:pPr>
        <w:jc w:val="left"/>
        <w:numPr>
          <w:ilvl w:val="0"/>
          <w:numId w:val="3"/>
        </w:numPr>
        <w:rPr>
          <w:b w:val="1"/>
          <w:rFonts w:ascii="楷体" w:hAnsi="楷体" w:eastAsia="楷体" w:cs="Kaiti SC Regular"/>
          <w:sz w:val="24"/>
        </w:rPr>
      </w:pPr>
      <w:r>
        <w:rPr>
          <w:b w:val="1"/>
          <w:rFonts w:hint="eastAsia" w:ascii="楷体" w:hAnsi="楷体" w:eastAsia="楷体" w:cs="Kaiti SC Regular"/>
          <w:sz w:val="24"/>
        </w:rPr>
        <w:t>风控手段：</w:t>
      </w:r>
    </w:p>
    <w:p>
      <w:pPr>
        <w:ind w:firstLine="420" w:left="420"/>
        <w:jc w:val="left"/>
        <w:rPr>
          <w:rFonts w:ascii="楷体" w:hAnsi="楷体" w:eastAsia="楷体" w:cs="Kaiti SC Regular"/>
          <w:sz w:val="24"/>
        </w:rPr>
      </w:pPr>
      <w:r>
        <w:rPr>
          <w:color w:val="000000"/>
          <w:rFonts w:hint="eastAsia" w:ascii="楷体" w:hAnsi="楷体" w:eastAsia="楷体" w:cs="Kaiti SC Regular"/>
          <w:sz w:val="24"/>
        </w:rPr>
        <w:t>系统内嵌风控，分散持仓</w:t>
      </w:r>
      <w:r>
        <w:rPr>
          <w:color w:val="000000"/>
          <w:rFonts w:hint="default" w:ascii="楷体" w:hAnsi="楷体" w:eastAsia="楷体" w:cs="Kaiti SC Regular"/>
          <w:sz w:val="24"/>
        </w:rPr>
        <w:t>300-500只股票，个股最大权重不超过1%</w:t>
      </w:r>
      <w:r>
        <w:rPr>
          <w:color w:val="000000"/>
          <w:rFonts w:hint="eastAsia" w:ascii="楷体" w:hAnsi="楷体" w:eastAsia="楷体" w:cs="Kaiti SC Regular"/>
          <w:sz w:val="24"/>
        </w:rPr>
        <w:t>，使用择时模型对冲。控制风格因子暴露±</w:t>
      </w:r>
      <w:r>
        <w:rPr>
          <w:color w:val="000000"/>
          <w:rFonts w:hint="default" w:ascii="楷体" w:hAnsi="楷体" w:eastAsia="楷体" w:cs="Kaiti SC Regular"/>
          <w:sz w:val="24"/>
        </w:rPr>
        <w:t>5%，行业偏离度几乎完全控制，偏差1%以内。</w:t>
      </w:r>
    </w:p>
    <w:p>
      <w:pPr>
        <w:jc w:val="left"/>
        <w:numPr>
          <w:ilvl w:val="0"/>
          <w:numId w:val="3"/>
        </w:numPr>
        <w:rPr>
          <w:b w:val="1"/>
          <w:rFonts w:ascii="楷体" w:hAnsi="楷体" w:eastAsia="楷体" w:cs="Kaiti SC Regular"/>
          <w:sz w:val="24"/>
        </w:rPr>
      </w:pPr>
      <w:r>
        <w:rPr>
          <w:b w:val="1"/>
          <w:rFonts w:hint="eastAsia" w:ascii="楷体" w:hAnsi="楷体" w:eastAsia="楷体" w:cs="Kaiti SC Regular"/>
          <w:sz w:val="24"/>
        </w:rPr>
        <w:t>风控效果：</w:t>
      </w:r>
    </w:p>
    <w:p>
      <w:pPr>
        <w:ind w:firstLine="420" w:left="420"/>
        <w:jc w:val="left"/>
        <w:rPr>
          <w:color w:val="000000"/>
          <w:rFonts w:ascii="楷体" w:hAnsi="楷体" w:eastAsia="楷体" w:cs="Kaiti SC Regular"/>
          <w:sz w:val="24"/>
        </w:rPr>
      </w:pPr>
      <w:r>
        <w:rPr>
          <w:color w:val="000000"/>
          <w:rFonts w:hint="eastAsia" w:ascii="楷体" w:hAnsi="楷体" w:eastAsia="楷体" w:cs="Kaiti SC Regular"/>
          <w:sz w:val="24"/>
        </w:rPr>
        <w:t>参考涌金春生量化</w:t>
      </w:r>
      <w:r>
        <w:rPr>
          <w:color w:val="000000"/>
          <w:rFonts w:hint="default" w:ascii="楷体" w:hAnsi="楷体" w:eastAsia="楷体" w:cs="Kaiti SC Regular"/>
          <w:sz w:val="24"/>
        </w:rPr>
        <w:t>500指数增强</w:t>
      </w:r>
      <w:r>
        <w:rPr>
          <w:color w:val="000000"/>
          <w:rFonts w:hint="eastAsia" w:ascii="楷体" w:hAnsi="楷体" w:eastAsia="楷体" w:cs="Kaiti SC Regular"/>
          <w:sz w:val="24"/>
        </w:rPr>
        <w:t>，运行</w:t>
      </w:r>
      <w:r>
        <w:rPr>
          <w:color w:val="000000"/>
          <w:rFonts w:hint="default" w:ascii="楷体" w:hAnsi="楷体" w:eastAsia="楷体" w:cs="Kaiti SC Regular"/>
          <w:sz w:val="24"/>
        </w:rPr>
        <w:t>4</w:t>
      </w:r>
      <w:r>
        <w:rPr>
          <w:color w:val="000000"/>
          <w:rFonts w:hint="eastAsia" w:ascii="楷体" w:hAnsi="楷体" w:eastAsia="楷体" w:cs="Kaiti SC Regular"/>
          <w:sz w:val="24"/>
        </w:rPr>
        <w:t>年，最大回撤</w:t>
      </w:r>
      <w:r>
        <w:rPr>
          <w:color w:val="000000"/>
          <w:rFonts w:hint="default" w:ascii="楷体" w:hAnsi="楷体" w:eastAsia="楷体" w:cs="Kaiti SC Regular"/>
          <w:sz w:val="24"/>
        </w:rPr>
        <w:t>13.18</w:t>
      </w:r>
      <w:r>
        <w:rPr>
          <w:color w:val="000000"/>
          <w:rFonts w:hint="eastAsia" w:ascii="楷体" w:hAnsi="楷体" w:eastAsia="楷体" w:cs="Kaiti SC Regular"/>
          <w:sz w:val="24"/>
        </w:rPr>
        <w:t>%，至今仍未修复。近1/2/3年最大回撤排名前</w:t>
      </w:r>
      <w:r>
        <w:rPr>
          <w:color w:val="000000"/>
          <w:rFonts w:hint="default" w:ascii="楷体" w:hAnsi="楷体" w:eastAsia="楷体" w:cs="Kaiti SC Regular"/>
          <w:sz w:val="24"/>
        </w:rPr>
        <w:t>1</w:t>
      </w:r>
      <w:r>
        <w:rPr>
          <w:color w:val="000000"/>
          <w:rFonts w:hint="eastAsia" w:ascii="楷体" w:hAnsi="楷体" w:eastAsia="楷体" w:cs="Kaiti SC Regular"/>
          <w:sz w:val="24"/>
        </w:rPr>
        <w:t>%/</w:t>
      </w:r>
      <w:r>
        <w:rPr>
          <w:color w:val="000000"/>
          <w:rFonts w:hint="default" w:ascii="楷体" w:hAnsi="楷体" w:eastAsia="楷体" w:cs="Kaiti SC Regular"/>
          <w:sz w:val="24"/>
        </w:rPr>
        <w:t>1</w:t>
      </w:r>
      <w:r>
        <w:rPr>
          <w:color w:val="000000"/>
          <w:rFonts w:hint="eastAsia" w:ascii="楷体" w:hAnsi="楷体" w:eastAsia="楷体" w:cs="Kaiti SC Regular"/>
          <w:sz w:val="24"/>
        </w:rPr>
        <w:t>%/</w:t>
      </w:r>
      <w:r>
        <w:rPr>
          <w:color w:val="000000"/>
          <w:rFonts w:hint="default" w:ascii="楷体" w:hAnsi="楷体" w:eastAsia="楷体" w:cs="Kaiti SC Regular"/>
          <w:sz w:val="24"/>
        </w:rPr>
        <w:t>1</w:t>
      </w:r>
      <w:r>
        <w:rPr>
          <w:color w:val="000000"/>
          <w:rFonts w:hint="eastAsia" w:ascii="楷体" w:hAnsi="楷体" w:eastAsia="楷体" w:cs="Kaiti SC Regular"/>
          <w:sz w:val="24"/>
        </w:rPr>
        <w:t>%，夏普排名前</w:t>
      </w:r>
      <w:r>
        <w:rPr>
          <w:color w:val="000000"/>
          <w:rFonts w:hint="default" w:ascii="楷体" w:hAnsi="楷体" w:eastAsia="楷体" w:cs="Kaiti SC Regular"/>
          <w:sz w:val="24"/>
        </w:rPr>
        <w:t>39%</w:t>
      </w:r>
      <w:r>
        <w:rPr>
          <w:color w:val="000000"/>
          <w:rFonts w:hint="eastAsia" w:ascii="楷体" w:hAnsi="楷体" w:eastAsia="楷体" w:cs="Kaiti SC Regular"/>
          <w:sz w:val="24"/>
        </w:rPr>
        <w:t>/</w:t>
      </w:r>
      <w:r>
        <w:rPr>
          <w:color w:val="000000"/>
          <w:rFonts w:hint="default" w:ascii="楷体" w:hAnsi="楷体" w:eastAsia="楷体" w:cs="Kaiti SC Regular"/>
          <w:sz w:val="24"/>
        </w:rPr>
        <w:t>98</w:t>
      </w:r>
      <w:r>
        <w:rPr>
          <w:color w:val="000000"/>
          <w:rFonts w:hint="eastAsia" w:ascii="楷体" w:hAnsi="楷体" w:eastAsia="楷体" w:cs="Kaiti SC Regular"/>
          <w:sz w:val="24"/>
        </w:rPr>
        <w:t>%/</w:t>
      </w:r>
      <w:r>
        <w:rPr>
          <w:color w:val="000000"/>
          <w:rFonts w:hint="default" w:ascii="楷体" w:hAnsi="楷体" w:eastAsia="楷体" w:cs="Kaiti SC Regular"/>
          <w:sz w:val="24"/>
        </w:rPr>
        <w:t>100</w:t>
      </w:r>
      <w:r>
        <w:rPr>
          <w:color w:val="000000"/>
          <w:rFonts w:hint="eastAsia" w:ascii="楷体" w:hAnsi="楷体" w:eastAsia="楷体" w:cs="Kaiti SC Regular"/>
          <w:sz w:val="24"/>
        </w:rPr>
        <w:t>%。风控效果一般。</w:t>
      </w:r>
    </w:p>
    <w:p>
      <w:pPr>
        <w:jc w:val="left"/>
        <w:rPr>
          <w:rFonts w:ascii="楷体" w:hAnsi="楷体" w:eastAsia="楷体" w:cs="Kaiti SC Regular"/>
          <w:sz w:val="24"/>
        </w:rPr>
      </w:pPr>
    </w:p>
    <w:p>
      <w:pPr>
        <w:pStyle w:val="6"/>
        <w:rPr>
          <w:b w:val="0"/>
          <w:rFonts w:ascii="楷体" w:hAnsi="楷体" w:eastAsia="楷体"/>
          <w:sz w:val="24"/>
        </w:rPr>
      </w:pPr>
      <w:r>
        <w:rPr>
          <w:b w:val="0"/>
          <w:rFonts w:ascii="楷体" w:hAnsi="楷体" w:eastAsia="楷体"/>
        </w:rPr>
        <w:t>产品情况</w:t>
      </w:r>
    </w:p>
    <w:p>
      <w:pPr>
        <w:jc w:val="left"/>
        <w:numPr>
          <w:ilvl w:val="0"/>
          <w:numId w:val="3"/>
        </w:numPr>
        <w:rPr>
          <w:rFonts w:ascii="楷体" w:hAnsi="楷体" w:eastAsia="楷体" w:cs="Kaiti SC Regular"/>
          <w:sz w:val="24"/>
        </w:rPr>
      </w:pPr>
      <w:r>
        <w:rPr>
          <w:rFonts w:hint="eastAsia" w:ascii="楷体" w:hAnsi="楷体" w:eastAsia="楷体" w:cs="Kaiti SC Regular"/>
          <w:sz w:val="24"/>
        </w:rPr>
        <w:t>管理规模：</w:t>
      </w:r>
    </w:p>
    <w:p>
      <w:pPr>
        <w:ind w:firstLine="420" w:left="420"/>
        <w:jc w:val="left"/>
        <w:rPr>
          <w:color w:val="FF0000"/>
          <w:rFonts w:ascii="楷体" w:hAnsi="楷体" w:eastAsia="楷体" w:cs="Kaiti SC Regular"/>
          <w:sz w:val="24"/>
        </w:rPr>
      </w:pPr>
      <w:r>
        <w:rPr>
          <w:color w:val="000000"/>
          <w:rFonts w:hint="eastAsia" w:ascii="楷体" w:hAnsi="楷体" w:eastAsia="楷体" w:cs="Kaiti SC Regular"/>
          <w:sz w:val="24"/>
        </w:rPr>
        <w:t>管理规模</w:t>
      </w:r>
      <w:r>
        <w:rPr>
          <w:color w:val="000000"/>
          <w:kern w:val="2"/>
          <w:rFonts w:ascii="楷体" w:hAnsi="楷体" w:eastAsia="楷体" w:cs="Kaiti SC"/>
          <w:sz w:val="24"/>
        </w:rPr>
        <w:t>2.8</w:t>
      </w:r>
      <w:r>
        <w:rPr>
          <w:color w:val="000000"/>
          <w:rFonts w:hint="eastAsia" w:ascii="楷体" w:hAnsi="楷体" w:eastAsia="楷体" w:cs="Kaiti SC Regular"/>
          <w:sz w:val="24"/>
        </w:rPr>
        <w:t>亿。</w:t>
      </w:r>
      <w:r>
        <w:rPr>
          <w:color w:val="000000"/>
          <w:kern w:val="2"/>
          <w:rFonts w:ascii="楷体" w:hAnsi="楷体" w:eastAsia="楷体" w:cs="Kaiti SC"/>
          <w:sz w:val="24"/>
        </w:rPr>
        <w:t>其中7000万为500指增，3000万的自营策略，以及1.8亿的量化多头</w:t>
      </w:r>
    </w:p>
    <w:p>
      <w:pPr>
        <w:ind w:firstLine="420" w:left="420"/>
        <w:jc w:val="left"/>
        <w:rPr>
          <w:color w:val="000000"/>
          <w:rFonts w:ascii="楷体" w:hAnsi="楷体" w:eastAsia="楷体" w:cs="Kaiti SC Regular"/>
          <w:sz w:val="24"/>
        </w:rPr>
      </w:pPr>
      <w:r>
        <w:rPr>
          <w:color w:val="000000"/>
          <w:rFonts w:hint="eastAsia" w:ascii="楷体" w:hAnsi="楷体" w:eastAsia="楷体" w:cs="Kaiti SC Regular"/>
          <w:sz w:val="24"/>
        </w:rPr>
        <w:t>资金来源方面，</w:t>
      </w:r>
      <w:r>
        <w:rPr>
          <w:color w:val="000000"/>
          <w:rFonts w:hint="eastAsia" w:ascii="楷体" w:hAnsi="楷体" w:eastAsia="楷体" w:cs="Kaiti SC Regular"/>
          <w:sz w:val="24"/>
        </w:rPr>
        <w:t>自营资金</w:t>
      </w:r>
      <w:r>
        <w:rPr>
          <w:color w:val="000000"/>
          <w:rFonts w:hint="default" w:ascii="楷体" w:hAnsi="楷体" w:eastAsia="楷体" w:cs="Kaiti SC Regular"/>
          <w:sz w:val="24"/>
        </w:rPr>
        <w:t>3000万</w:t>
      </w:r>
      <w:r>
        <w:rPr>
          <w:color w:val="000000"/>
          <w:rFonts w:hint="eastAsia" w:ascii="楷体" w:hAnsi="楷体" w:eastAsia="楷体" w:cs="Kaiti SC Regular"/>
          <w:sz w:val="24"/>
        </w:rPr>
        <w:t>，剩下全是个人高净直销。</w:t>
      </w:r>
    </w:p>
    <w:p>
      <w:pPr>
        <w:jc w:val="left"/>
        <w:numPr>
          <w:ilvl w:val="0"/>
          <w:numId w:val="3"/>
        </w:numPr>
        <w:rPr>
          <w:color w:val="000000"/>
          <w:rFonts w:ascii="楷体" w:hAnsi="楷体" w:eastAsia="楷体" w:cs="Kaiti SC Regular"/>
          <w:sz w:val="24"/>
        </w:rPr>
      </w:pPr>
      <w:r>
        <w:rPr>
          <w:rFonts w:hint="eastAsia" w:ascii="楷体" w:hAnsi="楷体" w:eastAsia="楷体" w:cs="Kaiti SC Regular"/>
          <w:sz w:val="24"/>
        </w:rPr>
        <w:t>产品概述：</w:t>
      </w:r>
    </w:p>
    <w:p>
      <w:pPr>
        <w:ind w:firstLine="420" w:left="420"/>
        <w:jc w:val="left"/>
        <w:rPr>
          <w:color w:val="000000"/>
          <w:rFonts w:hint="eastAsia" w:ascii="楷体" w:hAnsi="楷体" w:eastAsia="楷体" w:cs="Kaiti SC Regular"/>
          <w:sz w:val="24"/>
        </w:rPr>
      </w:pPr>
      <w:r>
        <w:rPr>
          <w:color w:val="000000"/>
          <w:rFonts w:hint="eastAsia" w:ascii="楷体" w:hAnsi="楷体" w:eastAsia="楷体" w:cs="Kaiti SC Regular"/>
          <w:sz w:val="24"/>
        </w:rPr>
        <w:t>运行产品1</w:t>
      </w:r>
      <w:r>
        <w:rPr>
          <w:color w:val="000000"/>
          <w:rFonts w:hint="default" w:ascii="楷体" w:hAnsi="楷体" w:eastAsia="楷体" w:cs="Kaiti SC Regular"/>
          <w:sz w:val="24"/>
        </w:rPr>
        <w:t>0</w:t>
      </w:r>
      <w:r>
        <w:rPr>
          <w:color w:val="000000"/>
          <w:rFonts w:hint="eastAsia" w:ascii="楷体" w:hAnsi="楷体" w:eastAsia="楷体" w:cs="Kaiti SC Regular"/>
          <w:sz w:val="24"/>
        </w:rPr>
        <w:t>只，仅有一只春生</w:t>
      </w:r>
      <w:r>
        <w:rPr>
          <w:color w:val="000000"/>
          <w:rFonts w:hint="default" w:ascii="楷体" w:hAnsi="楷体" w:eastAsia="楷体" w:cs="Kaiti SC Regular"/>
          <w:sz w:val="24"/>
        </w:rPr>
        <w:t>2号宏观多元策略没有净值更新，该产品为管理人朋友定制的量化多头产品，不对外展示业绩</w:t>
      </w:r>
      <w:r>
        <w:rPr>
          <w:color w:val="000000"/>
          <w:rFonts w:hint="eastAsia" w:ascii="楷体" w:hAnsi="楷体" w:eastAsia="楷体" w:cs="Kaiti SC Regular"/>
          <w:sz w:val="24"/>
        </w:rPr>
        <w:t>。历史清算产品</w:t>
      </w:r>
      <w:r>
        <w:rPr>
          <w:color w:val="000000"/>
          <w:rFonts w:hint="default" w:ascii="楷体" w:hAnsi="楷体" w:eastAsia="楷体" w:cs="Kaiti SC Regular"/>
          <w:sz w:val="24"/>
        </w:rPr>
        <w:t>1只，为早期用来测试策略的一只产品</w:t>
      </w:r>
      <w:r>
        <w:rPr>
          <w:color w:val="000000"/>
          <w:rFonts w:hint="eastAsia" w:ascii="楷体" w:hAnsi="楷体" w:eastAsia="楷体" w:cs="Kaiti SC Regular"/>
          <w:sz w:val="24"/>
        </w:rPr>
        <w:t>。</w:t>
      </w:r>
    </w:p>
    <w:p>
      <w:pPr>
        <w:ind w:firstLine="420" w:left="420"/>
        <w:jc w:val="left"/>
        <w:rPr>
          <w:b w:val="0"/>
          <w:color w:val="000000"/>
          <w:i w:val="0"/>
          <w:rFonts w:ascii="楷体" w:hAnsi="楷体" w:eastAsia="楷体" w:cs="Kaiti SC Regular"/>
          <w:sz w:val="24"/>
        </w:rPr>
      </w:pPr>
      <w:r>
        <w:rPr>
          <w:color w:val="000000"/>
          <w:rFonts w:hint="eastAsia" w:ascii="楷体" w:hAnsi="楷体" w:eastAsia="楷体" w:cs="Kaiti SC Regular"/>
          <w:sz w:val="24"/>
        </w:rPr>
        <w:t>存续产品线</w:t>
      </w:r>
      <w:r>
        <w:rPr>
          <w:color w:val="000000"/>
          <w:rFonts w:hint="eastAsia" w:ascii="楷体" w:hAnsi="楷体" w:eastAsia="楷体" w:cs="Kaiti SC Regular"/>
          <w:sz w:val="24"/>
        </w:rPr>
        <w:t>上，所有规模小于</w:t>
      </w:r>
      <w:r>
        <w:rPr>
          <w:color w:val="000000"/>
          <w:rFonts w:hint="default" w:ascii="楷体" w:hAnsi="楷体" w:eastAsia="楷体" w:cs="Kaiti SC Regular"/>
          <w:sz w:val="24"/>
        </w:rPr>
        <w:t>500万的产品，目前全是管理人在里面测试新的策略。在规模大于500万的产品中，涌金春生量化500指数增强实际为择时对冲策略，会择时使用股指期货对冲多头端。涌金春生量化优选为纯大盘择时策略，但是只多不空，在模型发出看多信号时买进。春生1号价值精选混合，是量化多头策略，与500指增共享同一套多头模型，但选股范围为全市场选股，且永远满仓。</w:t>
      </w:r>
      <w:r>
        <w:rPr>
          <w:color w:val="000000"/>
          <w:rFonts w:hint="eastAsia" w:ascii="楷体" w:hAnsi="楷体" w:eastAsia="楷体" w:cs="Kaiti SC Regular"/>
          <w:sz w:val="24"/>
        </w:rPr>
        <w:t>该产品规模较大，也是管理人朋友定制的产品。</w:t>
      </w:r>
    </w:p>
    <w:p>
      <w:pPr>
        <w:jc w:val="left"/>
        <w:numPr>
          <w:ilvl w:val="0"/>
          <w:numId w:val="4"/>
        </w:numPr>
        <w:rPr>
          <w:rFonts w:ascii="楷体" w:hAnsi="楷体" w:eastAsia="楷体" w:cs="Kaiti SC Regular"/>
          <w:sz w:val="24"/>
        </w:rPr>
      </w:pPr>
      <w:r>
        <w:rPr>
          <w:color w:val="000000"/>
          <w:rFonts w:hint="eastAsia" w:ascii="楷体" w:hAnsi="楷体" w:eastAsia="楷体" w:cs="Kaiti SC Regular"/>
          <w:sz w:val="24"/>
        </w:rPr>
        <w:t>代表产品：</w:t>
      </w:r>
    </w:p>
    <w:p>
      <w:pPr>
        <w:ind w:firstLine="420" w:left="420"/>
        <w:jc w:val="left"/>
        <w:rPr>
          <w:rFonts w:ascii="楷体" w:hAnsi="楷体" w:eastAsia="楷体" w:cs="Kaiti SC Regular"/>
          <w:sz w:val="24"/>
        </w:rPr>
      </w:pPr>
      <w:r>
        <w:rPr>
          <w:color w:val="000000"/>
          <w:rFonts w:hint="eastAsia" w:ascii="楷体" w:hAnsi="楷体" w:eastAsia="楷体" w:cs="Kaiti SC Regular"/>
          <w:sz w:val="24"/>
        </w:rPr>
        <w:t>涌金春生量化</w:t>
      </w:r>
      <w:r>
        <w:rPr>
          <w:color w:val="000000"/>
          <w:rFonts w:hint="default" w:ascii="楷体" w:hAnsi="楷体" w:eastAsia="楷体" w:cs="Kaiti SC Regular"/>
          <w:sz w:val="24"/>
        </w:rPr>
        <w:t>500指数增强，实际为择时对冲策略，目前规模7000万，也是目前对外募集的主要产品</w:t>
      </w:r>
      <w:r>
        <w:rPr>
          <w:color w:val="000000"/>
          <w:rFonts w:hint="eastAsia" w:ascii="楷体" w:hAnsi="楷体" w:eastAsia="楷体" w:cs="Kaiti SC Regular"/>
          <w:sz w:val="24"/>
        </w:rPr>
        <w:t>。</w:t>
      </w:r>
    </w:p>
    <w:p>
      <w:pPr>
        <w:jc w:val="left"/>
        <w:numPr>
          <w:ilvl w:val="0"/>
          <w:numId w:val="5"/>
        </w:numPr>
        <w:rPr>
          <w:rFonts w:ascii="楷体" w:hAnsi="楷体" w:eastAsia="楷体" w:cs="Kaiti SC Regular"/>
          <w:sz w:val="24"/>
        </w:rPr>
      </w:pPr>
      <w:r>
        <w:rPr>
          <w:color w:val="000000"/>
          <w:rFonts w:hint="eastAsia" w:ascii="楷体" w:hAnsi="楷体" w:eastAsia="楷体" w:cs="Kaiti SC Regular"/>
          <w:sz w:val="24"/>
        </w:rPr>
        <w:t>风险收益表现：累计收益</w:t>
      </w:r>
      <w:r>
        <w:rPr>
          <w:color w:val="000000"/>
          <w:rFonts w:hint="default" w:ascii="楷体" w:hAnsi="楷体" w:eastAsia="楷体" w:cs="Kaiti SC Regular"/>
          <w:sz w:val="24"/>
        </w:rPr>
        <w:t>13.8</w:t>
      </w:r>
      <w:r>
        <w:rPr>
          <w:color w:val="000000"/>
          <w:rFonts w:hint="eastAsia" w:ascii="楷体" w:hAnsi="楷体" w:eastAsia="楷体" w:cs="Kaiti SC Regular"/>
          <w:sz w:val="24"/>
        </w:rPr>
        <w:t>%，</w:t>
      </w:r>
      <w:r>
        <w:rPr>
          <w:color w:val="000000"/>
          <w:rFonts w:hint="default" w:ascii="楷体" w:hAnsi="楷体" w:eastAsia="楷体" w:cs="Kaiti SC Regular"/>
          <w:sz w:val="24"/>
        </w:rPr>
        <w:t xml:space="preserve">2021 -2023</w:t>
      </w:r>
      <w:r>
        <w:rPr>
          <w:color w:val="000000"/>
          <w:rFonts w:hint="eastAsia" w:ascii="楷体" w:hAnsi="楷体" w:eastAsia="楷体" w:cs="Kaiti SC Regular"/>
          <w:sz w:val="24"/>
        </w:rPr>
        <w:t>年收益分别为2.</w:t>
      </w:r>
      <w:r>
        <w:rPr>
          <w:color w:val="000000"/>
          <w:rFonts w:hint="default" w:ascii="楷体" w:hAnsi="楷体" w:eastAsia="楷体" w:cs="Kaiti SC Regular"/>
          <w:sz w:val="24"/>
        </w:rPr>
        <w:t>1</w:t>
      </w:r>
      <w:r>
        <w:rPr>
          <w:color w:val="000000"/>
          <w:rFonts w:hint="eastAsia" w:ascii="楷体" w:hAnsi="楷体" w:eastAsia="楷体" w:cs="Kaiti SC Regular"/>
          <w:sz w:val="24"/>
        </w:rPr>
        <w:t>%、</w:t>
      </w:r>
      <w:r>
        <w:rPr>
          <w:color w:val="000000"/>
          <w:rFonts w:hint="default" w:ascii="楷体" w:hAnsi="楷体" w:eastAsia="楷体" w:cs="Kaiti SC Regular"/>
          <w:sz w:val="24"/>
        </w:rPr>
        <w:t>-1.54</w:t>
      </w:r>
      <w:r>
        <w:rPr>
          <w:color w:val="000000"/>
          <w:rFonts w:hint="eastAsia" w:ascii="楷体" w:hAnsi="楷体" w:eastAsia="楷体" w:cs="Kaiti SC Regular"/>
          <w:sz w:val="24"/>
        </w:rPr>
        <w:t>%、</w:t>
      </w:r>
      <w:r>
        <w:rPr>
          <w:color w:val="000000"/>
          <w:rFonts w:hint="default" w:ascii="楷体" w:hAnsi="楷体" w:eastAsia="楷体" w:cs="Kaiti SC Regular"/>
          <w:sz w:val="24"/>
        </w:rPr>
        <w:t>0.78</w:t>
      </w:r>
      <w:r>
        <w:rPr>
          <w:color w:val="000000"/>
          <w:rFonts w:hint="eastAsia" w:ascii="楷体" w:hAnsi="楷体" w:eastAsia="楷体" w:cs="Kaiti SC Regular"/>
          <w:sz w:val="24"/>
        </w:rPr>
        <w:t>%，年化收益</w:t>
      </w:r>
      <w:r>
        <w:rPr>
          <w:color w:val="000000"/>
          <w:rFonts w:hint="default" w:ascii="楷体" w:hAnsi="楷体" w:eastAsia="楷体" w:cs="Kaiti SC Regular"/>
          <w:sz w:val="24"/>
        </w:rPr>
        <w:t>3.38</w:t>
      </w:r>
      <w:r>
        <w:rPr>
          <w:color w:val="000000"/>
          <w:rFonts w:hint="eastAsia" w:ascii="楷体" w:hAnsi="楷体" w:eastAsia="楷体" w:cs="Kaiti SC Regular"/>
          <w:sz w:val="24"/>
        </w:rPr>
        <w:t>%，最大回撤</w:t>
      </w:r>
      <w:r>
        <w:rPr>
          <w:color w:val="000000"/>
          <w:rFonts w:hint="default" w:ascii="楷体" w:hAnsi="楷体" w:eastAsia="楷体" w:cs="Kaiti SC Regular"/>
          <w:sz w:val="24"/>
        </w:rPr>
        <w:t>13.18</w:t>
      </w:r>
      <w:r>
        <w:rPr>
          <w:color w:val="000000"/>
          <w:rFonts w:hint="eastAsia" w:ascii="楷体" w:hAnsi="楷体" w:eastAsia="楷体" w:cs="Kaiti SC Regular"/>
          <w:sz w:val="24"/>
        </w:rPr>
        <w:t>%，发生在202</w:t>
      </w:r>
      <w:r>
        <w:rPr>
          <w:color w:val="000000"/>
          <w:rFonts w:hint="default" w:ascii="楷体" w:hAnsi="楷体" w:eastAsia="楷体" w:cs="Kaiti SC Regular"/>
          <w:sz w:val="24"/>
        </w:rPr>
        <w:t>0</w:t>
      </w:r>
      <w:r>
        <w:rPr>
          <w:color w:val="000000"/>
          <w:rFonts w:hint="eastAsia" w:ascii="楷体" w:hAnsi="楷体" w:eastAsia="楷体" w:cs="Kaiti SC Regular"/>
          <w:sz w:val="24"/>
        </w:rPr>
        <w:t>年</w:t>
      </w:r>
      <w:r>
        <w:rPr>
          <w:color w:val="000000"/>
          <w:rFonts w:hint="default" w:ascii="楷体" w:hAnsi="楷体" w:eastAsia="楷体" w:cs="Kaiti SC Regular"/>
          <w:sz w:val="24"/>
        </w:rPr>
        <w:t>8月</w:t>
      </w:r>
      <w:r>
        <w:rPr>
          <w:color w:val="000000"/>
          <w:rFonts w:hint="eastAsia" w:ascii="楷体" w:hAnsi="楷体" w:eastAsia="楷体" w:cs="Kaiti SC Regular"/>
          <w:sz w:val="24"/>
        </w:rPr>
        <w:t>，至今仍未修复。近1/2/3年收益排名同策略前</w:t>
      </w:r>
      <w:r>
        <w:rPr>
          <w:color w:val="000000"/>
          <w:rFonts w:hint="default" w:ascii="楷体" w:hAnsi="楷体" w:eastAsia="楷体" w:cs="Kaiti SC Regular"/>
          <w:sz w:val="24"/>
        </w:rPr>
        <w:t>2</w:t>
      </w:r>
      <w:r>
        <w:rPr>
          <w:color w:val="000000"/>
          <w:rFonts w:hint="eastAsia" w:ascii="楷体" w:hAnsi="楷体" w:eastAsia="楷体" w:cs="Kaiti SC Regular"/>
          <w:sz w:val="24"/>
        </w:rPr>
        <w:t>%/</w:t>
      </w:r>
      <w:r>
        <w:rPr>
          <w:color w:val="000000"/>
          <w:rFonts w:hint="default" w:ascii="楷体" w:hAnsi="楷体" w:eastAsia="楷体" w:cs="Kaiti SC Regular"/>
          <w:sz w:val="24"/>
        </w:rPr>
        <w:t>9</w:t>
      </w:r>
      <w:r>
        <w:rPr>
          <w:color w:val="000000"/>
          <w:rFonts w:hint="eastAsia" w:ascii="楷体" w:hAnsi="楷体" w:eastAsia="楷体" w:cs="Kaiti SC Regular"/>
          <w:sz w:val="24"/>
        </w:rPr>
        <w:t>%/</w:t>
      </w:r>
      <w:r>
        <w:rPr>
          <w:color w:val="000000"/>
          <w:rFonts w:hint="default" w:ascii="楷体" w:hAnsi="楷体" w:eastAsia="楷体" w:cs="Kaiti SC Regular"/>
          <w:sz w:val="24"/>
        </w:rPr>
        <w:t>37</w:t>
      </w:r>
      <w:r>
        <w:rPr>
          <w:color w:val="000000"/>
          <w:rFonts w:hint="eastAsia" w:ascii="楷体" w:hAnsi="楷体" w:eastAsia="楷体" w:cs="Kaiti SC Regular"/>
          <w:sz w:val="24"/>
        </w:rPr>
        <w:t>%，最大回撤排名前</w:t>
      </w:r>
      <w:r>
        <w:rPr>
          <w:color w:val="000000"/>
          <w:rFonts w:hint="default" w:ascii="楷体" w:hAnsi="楷体" w:eastAsia="楷体" w:cs="Kaiti SC Regular"/>
          <w:sz w:val="24"/>
        </w:rPr>
        <w:t>1</w:t>
      </w:r>
      <w:r>
        <w:rPr>
          <w:color w:val="000000"/>
          <w:rFonts w:hint="eastAsia" w:ascii="楷体" w:hAnsi="楷体" w:eastAsia="楷体" w:cs="Kaiti SC Regular"/>
          <w:sz w:val="24"/>
        </w:rPr>
        <w:t>%/</w:t>
      </w:r>
      <w:r>
        <w:rPr>
          <w:color w:val="000000"/>
          <w:rFonts w:hint="default" w:ascii="楷体" w:hAnsi="楷体" w:eastAsia="楷体" w:cs="Kaiti SC Regular"/>
          <w:sz w:val="24"/>
        </w:rPr>
        <w:t>1</w:t>
      </w:r>
      <w:r>
        <w:rPr>
          <w:color w:val="000000"/>
          <w:rFonts w:hint="eastAsia" w:ascii="楷体" w:hAnsi="楷体" w:eastAsia="楷体" w:cs="Kaiti SC Regular"/>
          <w:sz w:val="24"/>
        </w:rPr>
        <w:t>%/</w:t>
      </w:r>
      <w:r>
        <w:rPr>
          <w:color w:val="000000"/>
          <w:rFonts w:hint="default" w:ascii="楷体" w:hAnsi="楷体" w:eastAsia="楷体" w:cs="Kaiti SC Regular"/>
          <w:sz w:val="24"/>
        </w:rPr>
        <w:t>1</w:t>
      </w:r>
      <w:r>
        <w:rPr>
          <w:color w:val="000000"/>
          <w:rFonts w:hint="eastAsia" w:ascii="楷体" w:hAnsi="楷体" w:eastAsia="楷体" w:cs="Kaiti SC Regular"/>
          <w:sz w:val="24"/>
        </w:rPr>
        <w:t>%，夏普排名前</w:t>
      </w:r>
      <w:r>
        <w:rPr>
          <w:color w:val="000000"/>
          <w:rFonts w:hint="default" w:ascii="楷体" w:hAnsi="楷体" w:eastAsia="楷体" w:cs="Kaiti SC Regular"/>
          <w:sz w:val="24"/>
        </w:rPr>
        <w:t>39%</w:t>
      </w:r>
      <w:r>
        <w:rPr>
          <w:color w:val="000000"/>
          <w:rFonts w:hint="eastAsia" w:ascii="楷体" w:hAnsi="楷体" w:eastAsia="楷体" w:cs="Kaiti SC Regular"/>
          <w:sz w:val="24"/>
        </w:rPr>
        <w:t>/</w:t>
      </w:r>
      <w:r>
        <w:rPr>
          <w:color w:val="000000"/>
          <w:rFonts w:hint="default" w:ascii="楷体" w:hAnsi="楷体" w:eastAsia="楷体" w:cs="Kaiti SC Regular"/>
          <w:sz w:val="24"/>
        </w:rPr>
        <w:t>98</w:t>
      </w:r>
      <w:r>
        <w:rPr>
          <w:color w:val="000000"/>
          <w:rFonts w:hint="eastAsia" w:ascii="楷体" w:hAnsi="楷体" w:eastAsia="楷体" w:cs="Kaiti SC Regular"/>
          <w:sz w:val="24"/>
        </w:rPr>
        <w:t>%/</w:t>
      </w:r>
      <w:r>
        <w:rPr>
          <w:color w:val="000000"/>
          <w:rFonts w:hint="default" w:ascii="楷体" w:hAnsi="楷体" w:eastAsia="楷体" w:cs="Kaiti SC Regular"/>
          <w:sz w:val="24"/>
        </w:rPr>
        <w:t>100</w:t>
      </w:r>
      <w:r>
        <w:rPr>
          <w:color w:val="000000"/>
          <w:rFonts w:hint="eastAsia" w:ascii="楷体" w:hAnsi="楷体" w:eastAsia="楷体" w:cs="Kaiti SC Regular"/>
          <w:sz w:val="24"/>
        </w:rPr>
        <w:t>%</w:t>
      </w:r>
      <w:r>
        <w:rPr>
          <w:color w:val="000000"/>
          <w:rFonts w:hint="eastAsia" w:ascii="楷体" w:hAnsi="楷体" w:eastAsia="楷体" w:cs="Kaiti SC Regular"/>
          <w:sz w:val="24"/>
        </w:rPr>
        <w:t>。</w:t>
      </w:r>
    </w:p>
    <w:p>
      <w:pPr>
        <w:jc w:val="left"/>
        <w:numPr>
          <w:ilvl w:val="0"/>
          <w:numId w:val="5"/>
        </w:numPr>
        <w:rPr>
          <w:b w:val="0"/>
          <w:i w:val="0"/>
          <w:rFonts w:ascii="楷体" w:hAnsi="楷体" w:eastAsia="楷体" w:cs="Kaiti SC Regular"/>
          <w:sz w:val="24"/>
        </w:rPr>
      </w:pPr>
      <w:r>
        <w:rPr>
          <w:color w:val="000000"/>
          <w:rFonts w:hint="eastAsia" w:ascii="楷体" w:hAnsi="楷体" w:eastAsia="楷体" w:cs="Kaiti SC Regular"/>
          <w:sz w:val="24"/>
        </w:rPr>
        <w:t>复盘及归因：</w:t>
      </w:r>
      <w:r>
        <w:rPr>
          <w:color w:val="000000"/>
          <w:rFonts w:hint="eastAsia" w:ascii="楷体" w:hAnsi="楷体" w:eastAsia="楷体" w:cs="Kaiti SC Regular"/>
          <w:sz w:val="24"/>
        </w:rPr>
        <w:t>该产品虽然名字叫</w:t>
      </w:r>
      <w:r>
        <w:rPr>
          <w:color w:val="000000"/>
          <w:rFonts w:hint="default" w:ascii="楷体" w:hAnsi="楷体" w:eastAsia="楷体" w:cs="Kaiti SC Regular"/>
          <w:sz w:val="24"/>
        </w:rPr>
        <w:t>500指增，但实际上是一个多头端为500指增的择时对冲策略</w:t>
      </w:r>
      <w:r>
        <w:rPr>
          <w:color w:val="000000"/>
          <w:rFonts w:hint="eastAsia" w:ascii="楷体" w:hAnsi="楷体" w:eastAsia="楷体" w:cs="Kaiti SC Regular"/>
          <w:sz w:val="24"/>
        </w:rPr>
        <w:t>，会在有空头信号时，</w:t>
      </w:r>
      <w:r>
        <w:rPr>
          <w:color w:val="000000"/>
          <w:rFonts w:hint="default" w:ascii="楷体" w:hAnsi="楷体" w:eastAsia="楷体" w:cs="Kaiti SC Regular"/>
          <w:sz w:val="24"/>
        </w:rPr>
        <w:t>1：1用股指期货对冲。最大回撤发生在2020年8月左右，那时仅有多头端，还没有空头，70%的成分股占比和较为严格的风格控制导致了当时随市场回撤较大。后经历回撤后，开始加入对冲端进行择时对冲。由于没有净空头头寸，因此空头没有贡献收益，而且因为两套系统磨合的问题，alpha端和beta端的收益均有所损耗，导致净值走势较平。</w:t>
      </w:r>
      <w:r>
        <w:rPr>
          <w:b w:val="0"/>
          <w:color w:val="000000"/>
          <w:dstrike w:val="0"/>
          <w:i w:val="0"/>
          <w:kern w:val="2"/>
          <w:lang w:val="en-US" w:bidi="en-US"/>
          <w:rFonts w:hint="default" w:ascii="楷体" w:hAnsi="楷体" w:eastAsia="楷体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由于该策略换手率相对较低，加之管理人偏好基本面因子，导致在每次调仓时如果大盘择时模型的信号与选股模型不完全对齐，可能会在不恰当的时机降低仓位。例如，在调仓日发出空头信号导致降低仓位，但在下一次调仓前市场又出现上涨，这种时滞效应削弱了策略在波动市场中的表现。而近两年中证500均以下跌行情为主，空头信号开的几率较大。</w:t>
      </w:r>
    </w:p>
    <w:p>
      <w:pPr>
        <w:jc w:val="left"/>
        <w:numPr>
          <w:ilvl w:val="0"/>
          <w:numId w:val="3"/>
        </w:numPr>
        <w:rPr>
          <w:rFonts w:ascii="楷体" w:hAnsi="楷体" w:eastAsia="楷体" w:cs="Kaiti SC Regular"/>
          <w:sz w:val="24"/>
        </w:rPr>
      </w:pPr>
      <w:r>
        <w:rPr>
          <w:rFonts w:hint="eastAsia" w:ascii="楷体" w:hAnsi="楷体" w:eastAsia="楷体" w:cs="Kaiti SC Regular"/>
          <w:sz w:val="24"/>
        </w:rPr>
        <w:t>其</w:t>
      </w:r>
      <w:r>
        <w:rPr>
          <w:rFonts w:hint="eastAsia" w:ascii="楷体" w:hAnsi="楷体" w:eastAsia="楷体" w:cs="Kaiti SC Regular"/>
          <w:sz w:val="24"/>
        </w:rPr>
        <w:t>他产品：</w:t>
      </w:r>
    </w:p>
    <w:p>
      <w:pPr>
        <w:ind w:firstLine="420" w:left="420"/>
        <w:jc w:val="left"/>
        <w:rPr>
          <w:rFonts w:ascii="楷体" w:hAnsi="楷体" w:eastAsia="楷体" w:cs="Kaiti SC Regular"/>
          <w:sz w:val="24"/>
        </w:rPr>
      </w:pPr>
      <w:r>
        <w:rPr>
          <w:rFonts w:hint="eastAsia" w:ascii="楷体" w:hAnsi="楷体" w:eastAsia="楷体" w:cs="Kaiti SC Regular"/>
          <w:sz w:val="24"/>
        </w:rPr>
        <w:t>无。</w:t>
      </w:r>
    </w:p>
    <w:p>
      <w:pPr>
        <w:jc w:val="left"/>
        <w:rPr>
          <w:rFonts w:ascii="楷体" w:hAnsi="楷体" w:eastAsia="楷体" w:cs="Kaiti SC Regular"/>
          <w:sz w:val="24"/>
        </w:rPr>
      </w:pPr>
    </w:p>
    <w:p>
      <w:pPr>
        <w:jc w:val="left"/>
        <w:rPr>
          <w:rFonts w:ascii="楷体" w:hAnsi="楷体" w:eastAsia="楷体" w:cs="Kaiti SC Regular"/>
        </w:rPr>
      </w:pPr>
      <w:r>
        <w:rPr>
          <w:rFonts w:hint="eastAsia" w:ascii="楷体" w:hAnsi="楷体" w:eastAsia="楷体" w:cs="Kaiti SC Regular"/>
          <w:sz w:val="24"/>
        </w:rPr>
        <w:t>结论</w:t>
      </w:r>
    </w:p>
    <w:p>
      <w:pPr>
        <w:ind w:firstLine="420"/>
        <w:jc w:val="left"/>
        <w:rPr>
          <w:color w:val="000000"/>
          <w:rFonts w:ascii="楷体" w:hAnsi="楷体" w:eastAsia="楷体" w:cs="Kaiti SC Regular"/>
          <w:sz w:val="24"/>
          <w:szCs w:val="32"/>
        </w:rPr>
      </w:pPr>
      <w:r>
        <w:rPr>
          <w:color w:val="000000"/>
          <w:rFonts w:hint="eastAsia" w:ascii="楷体" w:hAnsi="楷体" w:eastAsia="楷体" w:cs="Kaiti SC Regular"/>
          <w:sz w:val="24"/>
          <w:szCs w:val="32"/>
        </w:rPr>
        <w:t>公司成立</w:t>
      </w:r>
      <w:r>
        <w:rPr>
          <w:color w:val="000000"/>
          <w:rFonts w:hint="default" w:ascii="楷体" w:hAnsi="楷体" w:eastAsia="楷体" w:cs="Kaiti SC Regular"/>
          <w:sz w:val="24"/>
          <w:szCs w:val="32"/>
        </w:rPr>
        <w:t>8年，可追溯业绩4年，目前管理规模2.8亿</w:t>
      </w:r>
      <w:r>
        <w:rPr>
          <w:color w:val="000000"/>
          <w:rFonts w:hint="eastAsia" w:ascii="楷体" w:hAnsi="楷体" w:eastAsia="楷体" w:cs="Kaiti SC Regular"/>
          <w:sz w:val="24"/>
          <w:szCs w:val="32"/>
        </w:rPr>
        <w:t>。</w:t>
      </w:r>
      <w:r>
        <w:rPr>
          <w:color w:val="000000"/>
          <w:rFonts w:hint="eastAsia" w:ascii="楷体" w:hAnsi="楷体" w:eastAsia="楷体" w:cs="Kaiti SC Regular"/>
          <w:sz w:val="24"/>
          <w:szCs w:val="32"/>
        </w:rPr>
        <w:t>对外主推的是名为</w:t>
      </w:r>
      <w:r>
        <w:rPr>
          <w:color w:val="000000"/>
          <w:rFonts w:hint="default" w:ascii="楷体" w:hAnsi="楷体" w:eastAsia="楷体" w:cs="Kaiti SC Regular"/>
          <w:sz w:val="24"/>
          <w:szCs w:val="32"/>
        </w:rPr>
        <w:t>500指增，其实为择时对冲的策略。人员构成上，所有投研均为清华毕业，投研实力较强。策略上，管理人使用两套模型：大盘择时和多因子选股，共同完成投资决策。产品线上较为复杂，除了几只规模大于500万的以外，剩下的产品均为管理人测试开发不同策略的产品。目前产品上，几只代表产品的走势都比较平，还需持续观察。</w:t>
      </w:r>
    </w:p>
    <w:p>
      <w:pPr>
        <w:ind w:firstLine="420"/>
        <w:jc w:val="left"/>
        <w:rPr>
          <w:color w:val="000000"/>
          <w:rFonts w:hint="eastAsia" w:ascii="楷体" w:hAnsi="楷体" w:eastAsia="楷体" w:cs="Kaiti SC Regular"/>
          <w:sz w:val="24"/>
          <w:szCs w:val="32"/>
        </w:rPr>
      </w:pPr>
      <w:r>
        <w:rPr>
          <w:color w:val="000000"/>
          <w:rFonts w:hint="eastAsia" w:ascii="楷体" w:hAnsi="楷体" w:eastAsia="楷体" w:cs="Kaiti SC Regular"/>
          <w:sz w:val="24"/>
          <w:szCs w:val="32"/>
        </w:rPr>
        <w:t>综上，建议</w:t>
      </w:r>
      <w:r>
        <w:rPr>
          <w:color w:val="000000"/>
          <w:rFonts w:hint="eastAsia" w:ascii="楷体" w:hAnsi="楷体" w:eastAsia="楷体" w:cs="Kaiti SC Regular"/>
          <w:sz w:val="24"/>
          <w:szCs w:val="32"/>
        </w:rPr>
        <w:t>给予</w:t>
      </w:r>
      <w:r>
        <w:rPr>
          <w:color w:val="000000"/>
          <w:rFonts w:hint="eastAsia" w:ascii="楷体" w:hAnsi="楷体" w:eastAsia="楷体" w:cs="Kaiti SC Regular"/>
          <w:sz w:val="24"/>
          <w:szCs w:val="32"/>
        </w:rPr>
        <w:t>B评级。</w:t>
      </w:r>
    </w:p>
    <w:p>
      <w:pPr>
        <w:jc w:val="left"/>
        <w:rPr>
          <w:b w:val="0"/>
          <w:color w:val="000000"/>
          <w:i w:val="0"/>
          <w:rFonts w:hint="eastAsia" w:ascii="楷体" w:hAnsi="楷体" w:eastAsia="楷体" w:cs="Kaiti SC Regular"/>
          <w:sz w:val="24"/>
          <w:szCs w:val="32"/>
        </w:rPr>
      </w:pPr>
    </w:p>
    <w:p>
      <w:pPr>
        <w:jc w:val="left"/>
        <w:rPr>
          <w:lang w:val="en-US" w:bidi="en-US"/>
          <w:rFonts w:hint="eastAsia" w:ascii="楷体" w:hAnsi="楷体" w:eastAsia="楷体" w:cs="Kaiti SC Regular"/>
          <w:sz w:val="24"/>
        </w:rPr>
      </w:pPr>
      <w:r>
        <w:rPr>
          <w:lang w:val="en-US" w:bidi="en-US"/>
          <w:rFonts w:hint="eastAsia" w:ascii="楷体" w:hAnsi="楷体" w:eastAsia="楷体" w:cs="Kaiti SC Regular"/>
          <w:sz w:val="24"/>
        </w:rPr>
        <w:t>潜在顾虑</w:t>
      </w:r>
    </w:p>
    <w:p>
      <w:pPr>
        <w:jc w:val="left"/>
        <w:rPr>
          <w:rFonts w:hint="default" w:ascii="楷体" w:hAnsi="楷体" w:eastAsia="楷体" w:cs="Kaiti SC Regular"/>
          <w:sz w:val="24"/>
        </w:rPr>
      </w:pPr>
      <w:r>
        <w:rPr>
          <w:rFonts w:hint="eastAsia" w:ascii="楷体" w:hAnsi="楷体" w:eastAsia="楷体" w:cs="Kaiti SC Regular"/>
          <w:sz w:val="24"/>
        </w:rPr>
        <w:t>从净值曲线上看，名为</w:t>
      </w:r>
      <w:r>
        <w:rPr>
          <w:rFonts w:hint="default" w:ascii="楷体" w:hAnsi="楷体" w:eastAsia="楷体" w:cs="Kaiti SC Regular"/>
          <w:sz w:val="24"/>
        </w:rPr>
        <w:t>500指增虽然是择时对冲，但几次中证500的上涨都未享受到，同样的，下跌时也保护的很好，感觉对冲端一直都有头寸，且满仓时间不多。</w:t>
      </w:r>
      <w:r>
        <w:rPr>
          <w:rFonts w:hint="default" w:ascii="楷体" w:hAnsi="楷体" w:eastAsia="楷体" w:cs="Kaiti SC Regular"/>
          <w:sz w:val="24"/>
        </w:rPr>
        <w:t>管理人的说法经过验证确实能比较好的解释这个问题的原因，但从管理人的描述上说已经解决了策略同步的问题来看，还需要验证。</w:t>
      </w:r>
    </w:p>
    <w:p>
      <w:pPr>
        <w:ind w:firstLine="420"/>
        <w:jc w:val="left"/>
        <w:rPr>
          <w:color w:val="000000"/>
          <w:rFonts w:ascii="楷体" w:hAnsi="楷体" w:eastAsia="楷体" w:cs="Kaiti SC Regular"/>
          <w:sz w:val="24"/>
          <w:szCs w:val="32"/>
        </w:rPr>
      </w:pPr>
    </w:p>
    <w:sectPr>
      <w:cols w:space="720"/>
      <w:docGrid w:linePitch="312" w:type="lines"/>
      <w:pgMar w:top="1440" w:right="1800" w:bottom="1440" w:left="1800" w:header="851" w:footer="992" w:gutter="0"/>
      <w:pgSz w:h="16838" w:w="11906"/>
    </w:sectPr>
  </w:body>
</w:document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>
  <w:footnote w:type="separator" w:id="-1">
    <w:p>
      <w:pPr/>
      <w:r>
        <w:rPr/>
      </w:r>
    </w:p>
  </w:footnote>
  <w:footnote w:type="continuationSeparator" w:id="0">
    <w:p>
      <w:pPr/>
      <w:r>
        <w:rP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>
  <w:abstractNum w:abstractNumId="1" w15:restartNumberingAfterBreak="0">
    <w:lvl w:ilvl="0">
      <w:numFmt w:val="bullet"/>
      <w:suff w:val="tab"/>
      <w:lvlText w:val="-"/>
      <w:lvlJc w:val="left"/>
      <w:pPr>
        <w:ind w:hanging="360" w:left="846"/>
      </w:pPr>
      <w:rPr>
        <w:rFonts w:hint="default" w:ascii="Calibri" w:hAnsi="Calibri" w:eastAsia="宋体" w:cs="Calibri"/>
      </w:rPr>
    </w:lvl>
    <w:lvl w:ilvl="1">
      <w:start w:val="1"/>
      <w:numFmt w:val="bullet"/>
      <w:suff w:val="tab"/>
      <w:lvlText w:val=""/>
      <w:lvlJc w:val="left"/>
      <w:pPr>
        <w:ind w:hanging="420" w:left="1326"/>
      </w:pPr>
      <w:rPr>
        <w:rFonts w:hint="default" w:ascii="Wingdings" w:hAnsi="Wingdings"/>
      </w:rPr>
    </w:lvl>
    <w:lvl w:ilvl="2">
      <w:start w:val="1"/>
      <w:numFmt w:val="bullet"/>
      <w:suff w:val="tab"/>
      <w:lvlText w:val=""/>
      <w:lvlJc w:val="left"/>
      <w:pPr>
        <w:ind w:hanging="420" w:left="1746"/>
      </w:pPr>
      <w:rPr>
        <w:rFonts w:hint="default" w:ascii="Wingdings" w:hAnsi="Wingdings"/>
      </w:rPr>
    </w:lvl>
    <w:lvl w:ilvl="3">
      <w:start w:val="1"/>
      <w:numFmt w:val="bullet"/>
      <w:suff w:val="tab"/>
      <w:lvlText w:val=""/>
      <w:lvlJc w:val="left"/>
      <w:pPr>
        <w:ind w:hanging="420" w:left="2166"/>
      </w:pPr>
      <w:rPr>
        <w:rFonts w:hint="default" w:ascii="Wingdings" w:hAnsi="Wingdings"/>
      </w:rPr>
    </w:lvl>
    <w:lvl w:ilvl="4">
      <w:start w:val="1"/>
      <w:numFmt w:val="bullet"/>
      <w:suff w:val="tab"/>
      <w:lvlText w:val=""/>
      <w:lvlJc w:val="left"/>
      <w:pPr>
        <w:ind w:hanging="420" w:left="2586"/>
      </w:pPr>
      <w:rPr>
        <w:rFonts w:hint="default" w:ascii="Wingdings" w:hAnsi="Wingdings"/>
      </w:rPr>
    </w:lvl>
    <w:lvl w:ilvl="5">
      <w:start w:val="1"/>
      <w:numFmt w:val="bullet"/>
      <w:suff w:val="tab"/>
      <w:lvlText w:val=""/>
      <w:lvlJc w:val="left"/>
      <w:pPr>
        <w:ind w:hanging="420" w:left="3006"/>
      </w:pPr>
      <w:rPr>
        <w:rFonts w:hint="default" w:ascii="Wingdings" w:hAnsi="Wingdings"/>
      </w:rPr>
    </w:lvl>
    <w:lvl w:ilvl="6">
      <w:start w:val="1"/>
      <w:numFmt w:val="bullet"/>
      <w:suff w:val="tab"/>
      <w:lvlText w:val=""/>
      <w:lvlJc w:val="left"/>
      <w:pPr>
        <w:ind w:hanging="420" w:left="3426"/>
      </w:pPr>
      <w:rPr>
        <w:rFonts w:hint="default" w:ascii="Wingdings" w:hAnsi="Wingdings"/>
      </w:rPr>
    </w:lvl>
    <w:lvl w:ilvl="7">
      <w:start w:val="1"/>
      <w:numFmt w:val="bullet"/>
      <w:suff w:val="tab"/>
      <w:lvlText w:val=""/>
      <w:lvlJc w:val="left"/>
      <w:pPr>
        <w:ind w:hanging="420" w:left="3846"/>
      </w:pPr>
      <w:rPr>
        <w:rFonts w:hint="default" w:ascii="Wingdings" w:hAnsi="Wingdings"/>
      </w:rPr>
    </w:lvl>
    <w:lvl w:ilvl="8">
      <w:start w:val="1"/>
      <w:numFmt w:val="bullet"/>
      <w:suff w:val="tab"/>
      <w:lvlText w:val=""/>
      <w:lvlJc w:val="left"/>
      <w:pPr>
        <w:ind w:hanging="420" w:left="4266"/>
      </w:pPr>
      <w:rPr>
        <w:rFonts w:hint="default" w:ascii="Wingdings" w:hAnsi="Wingdings"/>
      </w:rPr>
    </w:lvl>
  </w:abstractNum>
  <w:abstractNum w:abstractNumId="2" w15:restartNumberingAfterBreak="0">
    <w:lvl w:ilvl="0">
      <w:start w:val="1"/>
      <w:numFmt w:val="bullet"/>
      <w:suff w:val="tab"/>
      <w:lvlText w:val=""/>
      <w:lvlJc w:val="left"/>
      <w:pPr>
        <w:ind w:hanging="420" w:left="420"/>
      </w:pPr>
      <w:rPr>
        <w:rFonts w:hint="default" w:ascii="Wingdings" w:hAnsi="Wingdings"/>
      </w:rPr>
    </w:lvl>
  </w:abstractNum>
  <w:abstractNum w:abstractNumId="3" w15:restartNumberingAfterBreak="0">
    <w:lvl w:ilvl="0">
      <w:numFmt w:val="bullet"/>
      <w:suff w:val="tab"/>
      <w:lvlText w:val="-"/>
      <w:lvlJc w:val="left"/>
      <w:pPr>
        <w:ind w:hanging="360" w:left="846"/>
      </w:pPr>
      <w:rPr>
        <w:rFonts w:hint="default" w:ascii="Calibri" w:hAnsi="Calibri" w:eastAsia="宋体" w:cs="Calibri"/>
      </w:rPr>
    </w:lvl>
    <w:lvl w:ilvl="1">
      <w:start w:val="1"/>
      <w:numFmt w:val="bullet"/>
      <w:suff w:val="tab"/>
      <w:lvlText w:val=""/>
      <w:lvlJc w:val="left"/>
      <w:pPr>
        <w:ind w:hanging="420" w:left="1326"/>
      </w:pPr>
      <w:rPr>
        <w:rFonts w:hint="default" w:ascii="Wingdings" w:hAnsi="Wingdings"/>
      </w:rPr>
    </w:lvl>
    <w:lvl w:ilvl="2">
      <w:start w:val="1"/>
      <w:numFmt w:val="bullet"/>
      <w:suff w:val="tab"/>
      <w:lvlText w:val=""/>
      <w:lvlJc w:val="left"/>
      <w:pPr>
        <w:ind w:hanging="420" w:left="1746"/>
      </w:pPr>
      <w:rPr>
        <w:rFonts w:hint="default" w:ascii="Wingdings" w:hAnsi="Wingdings"/>
      </w:rPr>
    </w:lvl>
    <w:lvl w:ilvl="3">
      <w:start w:val="1"/>
      <w:numFmt w:val="bullet"/>
      <w:suff w:val="tab"/>
      <w:lvlText w:val=""/>
      <w:lvlJc w:val="left"/>
      <w:pPr>
        <w:ind w:hanging="420" w:left="2166"/>
      </w:pPr>
      <w:rPr>
        <w:rFonts w:hint="default" w:ascii="Wingdings" w:hAnsi="Wingdings"/>
      </w:rPr>
    </w:lvl>
    <w:lvl w:ilvl="4">
      <w:start w:val="1"/>
      <w:numFmt w:val="bullet"/>
      <w:suff w:val="tab"/>
      <w:lvlText w:val=""/>
      <w:lvlJc w:val="left"/>
      <w:pPr>
        <w:ind w:hanging="420" w:left="2586"/>
      </w:pPr>
      <w:rPr>
        <w:rFonts w:hint="default" w:ascii="Wingdings" w:hAnsi="Wingdings"/>
      </w:rPr>
    </w:lvl>
    <w:lvl w:ilvl="5">
      <w:start w:val="1"/>
      <w:numFmt w:val="bullet"/>
      <w:suff w:val="tab"/>
      <w:lvlText w:val=""/>
      <w:lvlJc w:val="left"/>
      <w:pPr>
        <w:ind w:hanging="420" w:left="3006"/>
      </w:pPr>
      <w:rPr>
        <w:rFonts w:hint="default" w:ascii="Wingdings" w:hAnsi="Wingdings"/>
      </w:rPr>
    </w:lvl>
    <w:lvl w:ilvl="6">
      <w:start w:val="1"/>
      <w:numFmt w:val="bullet"/>
      <w:suff w:val="tab"/>
      <w:lvlText w:val=""/>
      <w:lvlJc w:val="left"/>
      <w:pPr>
        <w:ind w:hanging="420" w:left="3426"/>
      </w:pPr>
      <w:rPr>
        <w:rFonts w:hint="default" w:ascii="Wingdings" w:hAnsi="Wingdings"/>
      </w:rPr>
    </w:lvl>
    <w:lvl w:ilvl="7">
      <w:start w:val="1"/>
      <w:numFmt w:val="bullet"/>
      <w:suff w:val="tab"/>
      <w:lvlText w:val=""/>
      <w:lvlJc w:val="left"/>
      <w:pPr>
        <w:ind w:hanging="420" w:left="3846"/>
      </w:pPr>
      <w:rPr>
        <w:rFonts w:hint="default" w:ascii="Wingdings" w:hAnsi="Wingdings"/>
      </w:rPr>
    </w:lvl>
    <w:lvl w:ilvl="8">
      <w:start w:val="1"/>
      <w:numFmt w:val="bullet"/>
      <w:suff w:val="tab"/>
      <w:lvlText w:val=""/>
      <w:lvlJc w:val="left"/>
      <w:pPr>
        <w:ind w:hanging="420" w:left="4266"/>
      </w:pPr>
      <w:rPr>
        <w:rFonts w:hint="default" w:ascii="Wingdings" w:hAnsi="Wingdings"/>
      </w:rPr>
    </w:lvl>
  </w:abstractNum>
  <w:abstractNum w:abstractNumId="4" w15:restartNumberingAfterBreak="0">
    <w:lvl w:ilvl="0">
      <w:start w:val="1"/>
      <w:numFmt w:val="bullet"/>
      <w:suff w:val="tab"/>
      <w:lvlText w:val=""/>
      <w:lvlJc w:val="left"/>
      <w:pPr>
        <w:ind w:hanging="420" w:left="420"/>
      </w:pPr>
      <w:rPr>
        <w:rFonts w:hint="default" w:ascii="Wingdings" w:hAnsi="Wingdings"/>
      </w:rPr>
    </w:lvl>
  </w:abstractNum>
  <w:abstractNum w:abstractNumId="5" w15:restartNumberingAfterBreak="0">
    <w:lvl w:ilvl="0">
      <w:start w:val="1"/>
      <w:numFmt w:val="bullet"/>
      <w:isLgl w:val="0"/>
      <w:suff w:val="tab"/>
      <w:lvlText w:val=""/>
      <w:lvlJc w:val="left"/>
      <w:pPr>
        <w:ind w:hanging="420" w:left="420"/>
      </w:pPr>
      <w:rPr>
        <w:rFonts w:hint="default" w:ascii="Wingdings" w:hAnsi="Wingdings"/>
      </w:rPr>
    </w:lvl>
    <w:lvl w:ilvl="1">
      <w:start w:val="1"/>
      <w:numFmt w:val="bullet"/>
      <w:isLgl w:val="0"/>
      <w:suff w:val="tab"/>
      <w:lvlText w:val="n"/>
      <w:lvlJc w:val="left"/>
      <w:pPr>
        <w:ind w:hanging="420" w:left="840"/>
      </w:pPr>
      <w:rPr>
        <w:b w:val="0"/>
        <w:i w:val="0"/>
        <w:rFonts w:ascii="Wingdings" w:hAnsi="Wingdings" w:eastAsia="Wingdings" w:cs="Wingdings"/>
      </w:rPr>
    </w:lvl>
    <w:lvl w:ilvl="2">
      <w:start w:val="1"/>
      <w:numFmt w:val="bullet"/>
      <w:isLgl w:val="0"/>
      <w:suff w:val="tab"/>
      <w:lvlText w:val="u"/>
      <w:lvlJc w:val="left"/>
      <w:pPr>
        <w:ind w:hanging="420" w:left="1260"/>
      </w:pPr>
      <w:rPr>
        <w:b w:val="0"/>
        <w:i w:val="0"/>
        <w:rFonts w:ascii="Wingdings" w:hAnsi="Wingdings" w:eastAsia="Wingdings" w:cs="Wingdings"/>
      </w:rPr>
    </w:lvl>
    <w:lvl w:ilvl="3">
      <w:start w:val="1"/>
      <w:numFmt w:val="bullet"/>
      <w:isLgl w:val="0"/>
      <w:suff w:val="tab"/>
      <w:lvlText w:val="l"/>
      <w:lvlJc w:val="left"/>
      <w:pPr>
        <w:ind w:hanging="420" w:left="1680"/>
      </w:pPr>
      <w:rPr>
        <w:b w:val="0"/>
        <w:i w:val="0"/>
        <w:rFonts w:ascii="Wingdings" w:hAnsi="Wingdings" w:eastAsia="Wingdings" w:cs="Wingdings"/>
      </w:rPr>
    </w:lvl>
    <w:lvl w:ilvl="4">
      <w:start w:val="1"/>
      <w:numFmt w:val="bullet"/>
      <w:isLgl w:val="0"/>
      <w:suff w:val="tab"/>
      <w:lvlText w:val="n"/>
      <w:lvlJc w:val="left"/>
      <w:pPr>
        <w:ind w:hanging="420" w:left="2100"/>
      </w:pPr>
      <w:rPr>
        <w:b w:val="0"/>
        <w:i w:val="0"/>
        <w:rFonts w:ascii="Wingdings" w:hAnsi="Wingdings" w:eastAsia="Wingdings" w:cs="Wingdings"/>
      </w:rPr>
    </w:lvl>
    <w:lvl w:ilvl="5">
      <w:start w:val="1"/>
      <w:numFmt w:val="bullet"/>
      <w:isLgl w:val="0"/>
      <w:suff w:val="tab"/>
      <w:lvlText w:val="u"/>
      <w:lvlJc w:val="left"/>
      <w:pPr>
        <w:ind w:hanging="420" w:left="2520"/>
      </w:pPr>
      <w:rPr>
        <w:b w:val="0"/>
        <w:i w:val="0"/>
        <w:rFonts w:ascii="Wingdings" w:hAnsi="Wingdings" w:eastAsia="Wingdings" w:cs="Wingdings"/>
      </w:rPr>
    </w:lvl>
    <w:lvl w:ilvl="6">
      <w:start w:val="1"/>
      <w:numFmt w:val="bullet"/>
      <w:isLgl w:val="0"/>
      <w:suff w:val="tab"/>
      <w:lvlText w:val="l"/>
      <w:lvlJc w:val="left"/>
      <w:pPr>
        <w:ind w:hanging="420" w:left="2940"/>
      </w:pPr>
      <w:rPr>
        <w:b w:val="0"/>
        <w:i w:val="0"/>
        <w:rFonts w:ascii="Wingdings" w:hAnsi="Wingdings" w:eastAsia="Wingdings" w:cs="Wingdings"/>
      </w:rPr>
    </w:lvl>
    <w:lvl w:ilvl="7">
      <w:start w:val="1"/>
      <w:numFmt w:val="bullet"/>
      <w:isLgl w:val="0"/>
      <w:suff w:val="tab"/>
      <w:lvlText w:val="n"/>
      <w:lvlJc w:val="left"/>
      <w:pPr>
        <w:ind w:hanging="420" w:left="3360"/>
      </w:pPr>
      <w:rPr>
        <w:b w:val="0"/>
        <w:i w:val="0"/>
        <w:rFonts w:ascii="Wingdings" w:hAnsi="Wingdings" w:eastAsia="Wingdings" w:cs="Wingdings"/>
      </w:rPr>
    </w:lvl>
    <w:lvl w:ilvl="8">
      <w:start w:val="1"/>
      <w:numFmt w:val="bullet"/>
      <w:isLgl w:val="0"/>
      <w:suff w:val="tab"/>
      <w:lvlText w:val="u"/>
      <w:lvlJc w:val="left"/>
      <w:pPr>
        <w:ind w:hanging="420" w:left="3780"/>
      </w:pPr>
      <w:rPr>
        <w:b w:val="0"/>
        <w:i w:val="0"/>
        <w:rFonts w:ascii="Wingdings" w:hAnsi="Wingdings" w:eastAsia="Wingdings" w:cs="Wingdings"/>
      </w:rPr>
    </w:lvl>
  </w:abstractNum>
  <w:abstractNum w:abstractNumId="5" w15:restartNumberingAfterBreak="0">
    <w:lvl w:ilvl="0">
      <w:start w:val="1"/>
      <w:numFmt w:val="bullet"/>
      <w:suff w:val="tab"/>
      <w:lvlText w:val=""/>
      <w:lvlJc w:val="left"/>
      <w:pPr>
        <w:ind w:hanging="420" w:left="420"/>
      </w:pPr>
      <w:rPr>
        <w:rFonts w:hint="default" w:ascii="Wingdings" w:hAnsi="Wingdings"/>
      </w:rPr>
    </w:lvl>
  </w:abstractNum>
  <w:abstractNum w:abstractNumId="334" w15:restartNumberingAfterBreak="0">
    <w:lvl w:ilvl="0">
      <w:start w:val="1"/>
      <w:numFmt w:val="decimal"/>
      <w:isLgl w:val="0"/>
      <w:suff w:val="tab"/>
      <w:lvlText w:val="%1."/>
      <w:lvlJc w:val="left"/>
      <w:pPr>
        <w:ind w:hanging="420" w:left="420"/>
      </w:pPr>
    </w:lvl>
    <w:lvl w:ilvl="1">
      <w:start w:val="1"/>
      <w:numFmt w:val="lowerLetter"/>
      <w:isLgl w:val="0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0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0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0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0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0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0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0"/>
      <w:suff w:val="tab"/>
      <w:lvlText w:val="%9."/>
      <w:lvlJc w:val="right"/>
      <w:pPr>
        <w:ind w:hanging="420" w:left="3780"/>
      </w:pPr>
    </w:lvl>
  </w:abstractNum>
  <w:abstractNum w:abstractNumId="342" w15:restartNumberingAfterBreak="0">
    <w:lvl w:ilvl="0">
      <w:start w:val="1"/>
      <w:numFmt w:val="decimal"/>
      <w:pStyle w:val="6"/>
      <w:isLgl w:val="0"/>
      <w:suff w:val="tab"/>
      <w:lvlText w:val="%1."/>
      <w:lvlJc w:val="left"/>
      <w:pPr>
        <w:ind w:hanging="420" w:left="420"/>
      </w:pPr>
    </w:lvl>
    <w:lvl w:ilvl="1">
      <w:start w:val="1"/>
      <w:numFmt w:val="lowerLetter"/>
      <w:isLgl w:val="0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0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0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0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0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0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0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0"/>
      <w:suff w:val="tab"/>
      <w:lvlText w:val="%9."/>
      <w:lvlJc w:val="right"/>
      <w:pPr>
        <w:ind w:hanging="420" w:left="37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335">
    <w:abstractNumId w:val="334"/>
  </w:num>
  <w:num w:numId="343">
    <w:abstractNumId w:val="342"/>
  </w:num>
  <w:num w:numId="1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v="urn:schemas-microsoft-com:vml">
  <w:defaultTabStop w:val="420"/>
  <w:drawingGridVerticalSpacing w:val="156"/>
  <w:noPunctuationKerning w:val="1"/>
  <w:characterSpacingControl w:val="compressPunctuation"/>
  <w:compat>
    <w:spaceForUL w:val="1"/>
    <w:balanceSingleByteDoubleByteWidth w:val="1"/>
    <w:doNotLeaveBackslashAlone w:val="1"/>
    <w:ulTrailSpace w:val="1"/>
    <w:doNotExpandShiftReturn w:val="1"/>
    <w:adjustLineHeightInTable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lang w:val="en-US" w:eastAsia="zh-CN" w:bidi="ar-SA"/>
        <w:rFonts w:ascii="Times New Roman" w:hAnsi="Times New Roman" w:eastAsia="宋体" w:cs="Times New Roman"/>
      </w:rPr>
    </w:rPrDefault>
    <w:pPrDefault/>
  </w:docDefaults>
  <w:style w:type="paragraph" w:styleId="a" w:default="1">
    <w:name w:val="Normal"/>
    <w:qFormat w:val="1"/>
    <w:pPr>
      <w:jc w:val="both"/>
      <w:widowControl w:val="0"/>
    </w:pPr>
    <w:rPr>
      <w:kern w:val="2"/>
      <w:rFonts w:ascii="Calibri" w:hAnsi="Calibri"/>
      <w:sz w:val="21"/>
      <w:szCs w:val="24"/>
    </w:rPr>
  </w:style>
  <w:style w:type="character" w:styleId="a0" w:default="1">
    <w:name w:val="Default Paragraph Font"/>
    <w:uiPriority w:val="1"/>
  </w:style>
  <w:style w:type="table" w:styleId="a1" w:default="1">
    <w:name w:val="Normal Table"/>
    <w:uiPriority w:val="99"/>
    <w:tblPr>
      <w:tblInd w:w="0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</w:style>
  <w:style w:type="character" w:styleId="a3">
    <w:name w:val="Hyperlink"/>
    <w:basedOn w:val="a0"/>
    <w:rPr>
      <w:color w:val="0000FF"/>
      <w:u w:val="single"/>
    </w:rPr>
  </w:style>
  <w:style w:type="paragraph" w:styleId="22">
    <w:name w:val="List Paragraph"/>
    <w:basedOn w:val="a"/>
    <w:uiPriority w:val="34"/>
    <w:qFormat w:val="1"/>
  </w:style>
  <w:style w:type="paragraph" w:styleId="6">
    <w:name w:val="Heading 2"/>
    <w:next w:val="a"/>
    <w:link w:val="7"/>
    <w:uiPriority w:val="9"/>
    <w:unhideWhenUsed w:val="1"/>
    <w:qFormat w:val="1"/>
    <w:pPr>
      <w:ind w:firstLineChars="0"/>
      <w:numPr>
        <w:ilvl w:val="0"/>
        <w:numId w:val="343"/>
      </w:numPr>
      <w:outlineLvl w:val="1"/>
      <w:pStyle w:val="6"/>
      <w:spacing w:after="260" w:before="260" w:line="408" w:lineRule="auto"/>
    </w:pPr>
    <w:rPr>
      <w:b w:val="1"/>
      <w:color w:val="auto"/>
      <w:dstrike w:val="0"/>
      <w:i w:val="0"/>
      <w:kern w:val="2"/>
      <w:lang w:val="en-US" w:bidi="en-US"/>
      <w:rFonts w:ascii="STKaiti" w:hAnsi="STKaiti" w:eastAsia="STKaiti" w:cs="Kaiti SC Regular"/>
      <w:spacing w:val="0"/>
      <w:strike w:val="0"/>
      <w:sz w:val="32"/>
      <w:szCs w:val="24"/>
      <w:u w:val="none"/>
      <w:vertAlign w:val="baseline"/>
      <w:w w:val="100"/>
    </w:rPr>
  </w:style>
  <w:style w:type="character" w:styleId="7">
    <w:name w:val="Heading 2 Char"/>
    <w:link w:val="6"/>
    <w:uiPriority w:val="9"/>
    <w:rPr>
      <w:b w:val="1"/>
      <w:color w:val="auto"/>
      <w:dstrike w:val="0"/>
      <w:i w:val="0"/>
      <w:kern w:val="2"/>
      <w:lang w:val="en-US" w:bidi="en-US"/>
      <w:rFonts w:ascii="STKaiti" w:hAnsi="STKaiti" w:eastAsia="STKaiti" w:cs="Kaiti SC Regular"/>
      <w:spacing w:val="0"/>
      <w:strike w:val="0"/>
      <w:sz w:val="32"/>
      <w:szCs w:val="24"/>
      <w:u w:val="none"/>
      <w:vertAlign w:val="baseline"/>
      <w:w w:val="100"/>
    </w:rPr>
  </w:style>
  <w:style w:type="character" w:styleId="2">
    <w:name w:val="original Paragraph Font"/>
    <w:uiPriority w:val="1"/>
    <w:unhideWhenUsed w:val="1"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Mode="Internal" Target="theme/theme1.xml"/><Relationship Id="rId3" Type="http://schemas.openxmlformats.org/officeDocument/2006/relationships/styles" TargetMode="Internal" Target="styles.xml"/><Relationship Id="rId2" Type="http://schemas.openxmlformats.org/officeDocument/2006/relationships/settings" TargetMode="Internal" Target="settings.xml"/><Relationship Id="rId4" Type="http://schemas.openxmlformats.org/officeDocument/2006/relationships/footnotes" TargetMode="Internal" Target="footnotes.xml"/><Relationship Id="rId5" Type="http://schemas.openxmlformats.org/officeDocument/2006/relationships/numbering" TargetMode="Internal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