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jc w:val="center"/>
        <w:rPr>
          <w:rFonts w:ascii="STKaiti" w:hAnsi="STKaiti" w:eastAsia="STKaiti" w:cs="Kaiti SC Regular"/>
          <w:sz w:val="32"/>
          <w:szCs w:val="40"/>
        </w:rPr>
      </w:pPr>
      <w:r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32"/>
          <w:szCs w:val="40"/>
          <w:u w:val="none"/>
          <w:vertAlign w:val="baseline"/>
          <w:w w:val="100"/>
        </w:rPr>
        <w:t>英旷资产管理（上海）有限公</w:t>
      </w:r>
      <w:r>
        <w:rPr>
          <w:rFonts w:hint="eastAsia" w:ascii="STKaiti" w:hAnsi="STKaiti" w:eastAsia="STKaiti" w:cs="Kaiti SC Regular"/>
          <w:sz w:val="32"/>
          <w:szCs w:val="40"/>
        </w:rPr>
        <w:t>司</w:t>
      </w:r>
    </w:p>
    <w:p>
      <w:pPr>
        <w:jc w:val="left"/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访谈对象：</w:t>
      </w:r>
      <w:r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沈韵沁</w:t>
      </w:r>
    </w:p>
    <w:p>
      <w:pPr>
        <w:pStyle w:val="6"/>
      </w:pPr>
      <w:r>
        <w:rPr/>
        <w:t>公司及人员</w:t>
      </w:r>
    </w:p>
    <w:p>
      <w:pPr>
        <w:jc w:val="left"/>
        <w:numPr>
          <w:ilvl w:val="0"/>
          <w:numId w:val="1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公司概况：</w:t>
      </w:r>
    </w:p>
    <w:p>
      <w:pPr>
        <w:ind w:left="420"/>
        <w:jc w:val="left"/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ab/>
      </w:r>
      <w:r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英旷资产管理（上海）有限公司</w:t>
      </w:r>
      <w:r>
        <w:rPr>
          <w:color w:val="000000"/>
          <w:kern w:val="2"/>
          <w:rFonts w:ascii="STKaiti" w:hAnsi="STKaiti" w:eastAsia="STKaiti" w:cs="Kaiti SC"/>
          <w:sz w:val="24"/>
        </w:rPr>
        <w:t xml:space="preserve">，成立于 20</w:t>
      </w:r>
      <w:r>
        <w:rPr>
          <w:color w:val="000000"/>
          <w:kern w:val="2"/>
          <w:rFonts w:ascii="STKaiti" w:hAnsi="STKaiti" w:eastAsia="STKaiti" w:cs="Kaiti SC"/>
          <w:sz w:val="24"/>
        </w:rPr>
        <w:t>15</w:t>
      </w:r>
      <w:r>
        <w:rPr>
          <w:color w:val="000000"/>
          <w:kern w:val="2"/>
          <w:rFonts w:ascii="STKaiti" w:hAnsi="STKaiti" w:eastAsia="STKaiti" w:cs="Kaiti SC"/>
          <w:sz w:val="24"/>
        </w:rPr>
        <w:t xml:space="preserve">年 0</w:t>
      </w:r>
      <w:r>
        <w:rPr>
          <w:color w:val="000000"/>
          <w:kern w:val="2"/>
          <w:rFonts w:ascii="STKaiti" w:hAnsi="STKaiti" w:eastAsia="STKaiti" w:cs="Kaiti SC"/>
          <w:sz w:val="24"/>
        </w:rPr>
        <w:t>6</w:t>
      </w:r>
      <w:r>
        <w:rPr>
          <w:color w:val="000000"/>
          <w:kern w:val="2"/>
          <w:rFonts w:ascii="STKaiti" w:hAnsi="STKaiti" w:eastAsia="STKaiti" w:cs="Kaiti SC"/>
          <w:sz w:val="24"/>
        </w:rPr>
        <w:t xml:space="preserve"> 月 </w:t>
      </w:r>
      <w:r>
        <w:rPr>
          <w:color w:val="000000"/>
          <w:kern w:val="2"/>
          <w:rFonts w:ascii="STKaiti" w:hAnsi="STKaiti" w:eastAsia="STKaiti" w:cs="Kaiti SC"/>
          <w:sz w:val="24"/>
        </w:rPr>
        <w:t>18</w:t>
      </w:r>
      <w:r>
        <w:rPr>
          <w:color w:val="000000"/>
          <w:kern w:val="2"/>
          <w:rFonts w:ascii="STKaiti" w:hAnsi="STKaiti" w:eastAsia="STKaiti" w:cs="Kaiti SC"/>
          <w:sz w:val="24"/>
        </w:rPr>
        <w:t> 日， </w:t>
      </w:r>
      <w:r>
        <w:rPr>
          <w:color w:val="000000"/>
          <w:kern w:val="2"/>
          <w:rFonts w:ascii="STKaiti" w:hAnsi="STKaiti" w:eastAsia="STKaiti" w:cs="Kaiti SC"/>
          <w:sz w:val="24"/>
        </w:rPr>
        <w:t>2020</w:t>
      </w:r>
      <w:r>
        <w:rPr>
          <w:color w:val="000000"/>
          <w:kern w:val="2"/>
          <w:rFonts w:ascii="STKaiti" w:hAnsi="STKaiti" w:eastAsia="STKaiti" w:cs="Kaiti SC"/>
          <w:sz w:val="24"/>
        </w:rPr>
        <w:t xml:space="preserve">年 1</w:t>
      </w:r>
      <w:r>
        <w:rPr>
          <w:color w:val="000000"/>
          <w:kern w:val="2"/>
          <w:rFonts w:ascii="STKaiti" w:hAnsi="STKaiti" w:eastAsia="STKaiti" w:cs="Kaiti SC"/>
          <w:sz w:val="24"/>
        </w:rPr>
        <w:t>1</w:t>
      </w:r>
      <w:r>
        <w:rPr>
          <w:color w:val="000000"/>
          <w:kern w:val="2"/>
          <w:rFonts w:ascii="STKaiti" w:hAnsi="STKaiti" w:eastAsia="STKaiti" w:cs="Kaiti SC"/>
          <w:sz w:val="24"/>
        </w:rPr>
        <w:t xml:space="preserve"> 月 </w:t>
      </w:r>
      <w:r>
        <w:rPr>
          <w:color w:val="000000"/>
          <w:kern w:val="2"/>
          <w:rFonts w:ascii="STKaiti" w:hAnsi="STKaiti" w:eastAsia="STKaiti" w:cs="Kaiti SC"/>
          <w:sz w:val="24"/>
        </w:rPr>
        <w:t>0</w:t>
      </w:r>
      <w:r>
        <w:rPr>
          <w:color w:val="000000"/>
          <w:kern w:val="2"/>
          <w:rFonts w:ascii="STKaiti" w:hAnsi="STKaiti" w:eastAsia="STKaiti" w:cs="Kaiti SC"/>
          <w:sz w:val="24"/>
        </w:rPr>
        <w:t xml:space="preserve">9 日在协会备案。</w:t>
      </w:r>
      <w:r>
        <w:rPr>
          <w:color w:val="000000"/>
          <w:kern w:val="2"/>
          <w:rFonts w:ascii="STKaiti" w:hAnsi="STKaiti" w:eastAsia="STKaiti" w:cs="Kaiti SC"/>
          <w:sz w:val="24"/>
        </w:rPr>
        <w:t>非</w:t>
      </w:r>
      <w:r>
        <w:rPr>
          <w:color w:val="000000"/>
          <w:kern w:val="2"/>
          <w:rFonts w:ascii="STKaiti" w:hAnsi="STKaiti" w:eastAsia="STKaiti" w:cs="Kaiti SC"/>
          <w:sz w:val="24"/>
        </w:rPr>
        <w:t>协会会员</w:t>
      </w:r>
      <w:r>
        <w:rPr>
          <w:color w:val="000000"/>
          <w:kern w:val="2"/>
          <w:rFonts w:ascii="STKaiti" w:hAnsi="STKaiti" w:eastAsia="STKaiti" w:cs="Kaiti SC"/>
          <w:sz w:val="24"/>
        </w:rPr>
        <w:t>，没有投顾资质</w:t>
      </w:r>
      <w:r>
        <w:rPr>
          <w:color w:val="000000"/>
          <w:kern w:val="2"/>
          <w:rFonts w:ascii="STKaiti" w:hAnsi="STKaiti" w:eastAsia="STKaiti" w:cs="Kaiti SC"/>
          <w:sz w:val="24"/>
        </w:rPr>
        <w:t xml:space="preserve">，目前管理 1亿。其中</w:t>
      </w:r>
      <w:r>
        <w:rPr>
          <w:color w:val="000000"/>
          <w:kern w:val="2"/>
          <w:rFonts w:ascii="STKaiti" w:hAnsi="STKaiti" w:eastAsia="STKaiti" w:cs="Kaiti SC"/>
          <w:sz w:val="24"/>
        </w:rPr>
        <w:t>7500万</w:t>
      </w:r>
      <w:r>
        <w:rPr>
          <w:color w:val="000000"/>
          <w:kern w:val="2"/>
          <w:rFonts w:ascii="STKaiti" w:hAnsi="STKaiti" w:eastAsia="STKaiti" w:cs="Kaiti SC"/>
          <w:sz w:val="24"/>
        </w:rPr>
        <w:t>为</w:t>
      </w:r>
      <w:r>
        <w:rPr>
          <w:color w:val="000000"/>
          <w:kern w:val="2"/>
          <w:rFonts w:ascii="STKaiti" w:hAnsi="STKaiti" w:eastAsia="STKaiti" w:cs="Kaiti SC"/>
          <w:sz w:val="24"/>
        </w:rPr>
        <w:t>中性，为目前</w:t>
      </w:r>
      <w:r>
        <w:rPr>
          <w:color w:val="000000"/>
          <w:kern w:val="2"/>
          <w:rFonts w:ascii="STKaiti" w:hAnsi="STKaiti" w:eastAsia="STKaiti" w:cs="Kaiti SC"/>
          <w:sz w:val="24"/>
        </w:rPr>
        <w:t>主推</w:t>
      </w:r>
      <w:r>
        <w:rPr>
          <w:color w:val="000000"/>
          <w:kern w:val="2"/>
          <w:rFonts w:ascii="STKaiti" w:hAnsi="STKaiti" w:eastAsia="STKaiti" w:cs="Kaiti SC"/>
          <w:sz w:val="24"/>
        </w:rPr>
        <w:t>的策略</w:t>
      </w:r>
      <w:r>
        <w:rPr>
          <w:color w:val="000000"/>
          <w:kern w:val="2"/>
          <w:rFonts w:ascii="STKaiti" w:hAnsi="STKaiti" w:eastAsia="STKaiti" w:cs="Kaiti SC"/>
          <w:sz w:val="24"/>
        </w:rPr>
        <w:t>，</w:t>
      </w:r>
      <w:r>
        <w:rPr>
          <w:color w:val="000000"/>
          <w:kern w:val="2"/>
          <w:rFonts w:ascii="STKaiti" w:hAnsi="STKaiti" w:eastAsia="STKaiti" w:cs="Kaiti SC"/>
          <w:sz w:val="24"/>
        </w:rPr>
        <w:t>1000万</w:t>
      </w:r>
      <w:r>
        <w:rPr>
          <w:color w:val="000000"/>
          <w:kern w:val="2"/>
          <w:rFonts w:ascii="STKaiti" w:hAnsi="STKaiti" w:eastAsia="STKaiti" w:cs="Kaiti SC"/>
          <w:sz w:val="24"/>
        </w:rPr>
        <w:t>指增，</w:t>
      </w:r>
      <w:r>
        <w:rPr>
          <w:color w:val="000000"/>
          <w:kern w:val="2"/>
          <w:rFonts w:ascii="STKaiti" w:hAnsi="STKaiti" w:eastAsia="STKaiti" w:cs="Kaiti SC"/>
          <w:sz w:val="24"/>
        </w:rPr>
        <w:t>1000万</w:t>
      </w:r>
      <w:r>
        <w:rPr>
          <w:color w:val="000000"/>
          <w:kern w:val="2"/>
          <w:rFonts w:ascii="STKaiti" w:hAnsi="STKaiti" w:eastAsia="STKaiti" w:cs="Kaiti SC"/>
          <w:sz w:val="24"/>
        </w:rPr>
        <w:t>可转债套利</w:t>
      </w:r>
      <w:r>
        <w:rPr>
          <w:color w:val="000000"/>
          <w:kern w:val="2"/>
          <w:rFonts w:ascii="STKaiti" w:hAnsi="STKaiti" w:eastAsia="STKaiti" w:cs="Kaiti SC"/>
          <w:sz w:val="24"/>
        </w:rPr>
        <w:t>和不到500万的量化CTA策略</w:t>
      </w:r>
      <w:r>
        <w:rPr>
          <w:color w:val="000000"/>
          <w:kern w:val="2"/>
          <w:rFonts w:ascii="STKaiti" w:hAnsi="STKaiti" w:eastAsia="STKaiti" w:cs="Kaiti SC"/>
          <w:sz w:val="24"/>
        </w:rPr>
        <w:t>。</w:t>
      </w:r>
    </w:p>
    <w:p>
      <w:pPr>
        <w:jc w:val="left"/>
        <w:numPr>
          <w:ilvl w:val="0"/>
          <w:numId w:val="1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股东情况：</w:t>
      </w:r>
    </w:p>
    <w:p>
      <w:pPr>
        <w:ind w:firstLine="420" w:left="420"/>
        <w:jc w:val="left"/>
        <w:rPr>
          <w:b w:val="0"/>
          <w:color w:val="000000"/>
          <w:dstrike w:val="0"/>
          <w:i w:val="0"/>
          <w:lang w:val="en-US" w:bidi="en-US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公司注册资本1000万，实缴</w:t>
      </w:r>
      <w:r>
        <w:rPr>
          <w:color w:val="000000"/>
          <w:rFonts w:hint="default" w:ascii="STKaiti" w:hAnsi="STKaiti" w:eastAsia="STKaiti" w:cs="Kaiti SC Regular"/>
          <w:sz w:val="24"/>
        </w:rPr>
        <w:t>300万</w:t>
      </w:r>
      <w:r>
        <w:rPr>
          <w:color w:val="000000"/>
          <w:rFonts w:hint="eastAsia" w:ascii="STKaiti" w:hAnsi="STKaiti" w:eastAsia="STKaiti" w:cs="Kaiti SC Regular"/>
          <w:sz w:val="24"/>
        </w:rPr>
        <w:t>，核心投研</w:t>
      </w:r>
      <w:r>
        <w:rPr>
          <w:b w:val="0"/>
          <w:color w:val="000000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胡天福</w:t>
      </w:r>
      <w:r>
        <w:rPr>
          <w:b w:val="0"/>
          <w:color w:val="000000"/>
          <w:dstrike w:val="0"/>
          <w:i w:val="0"/>
          <w:kern w:val="2"/>
          <w:lang w:val="en-US" w:bidi="en-US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持股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60%</w:t>
      </w:r>
      <w:r>
        <w:rPr>
          <w:b w:val="0"/>
          <w:color w:val="000000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，上海古余管理服务合伙企业（有限合伙）持股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40%，其中</w:t>
      </w:r>
      <w:r>
        <w:rPr>
          <w:b w:val="0"/>
          <w:color w:val="000000"/>
          <w:dstrike w:val="0"/>
          <w:i w:val="0"/>
          <w:kern w:val="2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胡天福持股</w:t>
      </w:r>
      <w:r>
        <w:rPr>
          <w:b w:val="0"/>
          <w:color w:val="000000"/>
          <w:dstrike w:val="0"/>
          <w:i w:val="0"/>
          <w:kern w:val="2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40%，副总裁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张石骏持股30%，风控总监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沈韵沁持股30%。</w:t>
      </w:r>
      <w:r>
        <w:rPr>
          <w:b w:val="0"/>
          <w:color w:val="000000"/>
          <w:dstrike w:val="0"/>
          <w:i w:val="0"/>
          <w:kern w:val="2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胡天福，</w:t>
      </w:r>
      <w:r>
        <w:rPr>
          <w:b w:val="0"/>
          <w:color w:val="000000"/>
          <w:dstrike w:val="0"/>
          <w:i w:val="0"/>
          <w:kern w:val="2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张石骏，</w:t>
      </w:r>
      <w:r>
        <w:rPr>
          <w:b w:val="0"/>
          <w:color w:val="000000"/>
          <w:dstrike w:val="0"/>
          <w:i w:val="0"/>
          <w:kern w:val="2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沈韵沁经过穿透后，实际持股76%，12%，12%。</w:t>
      </w:r>
    </w:p>
    <w:p>
      <w:pPr>
        <w:jc w:val="left"/>
        <w:numPr>
          <w:ilvl w:val="0"/>
          <w:numId w:val="1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组织架</w:t>
      </w:r>
      <w:r>
        <w:rPr>
          <w:b w:val="1"/>
          <w:color w:val="000000"/>
          <w:rFonts w:hint="eastAsia" w:ascii="STKaiti" w:hAnsi="STKaiti" w:eastAsia="STKaiti" w:cs="Kaiti SC Regular"/>
          <w:sz w:val="24"/>
        </w:rPr>
        <w:t>构：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总人数</w:t>
      </w:r>
      <w:r>
        <w:rPr>
          <w:color w:val="000000"/>
          <w:rFonts w:hint="default" w:ascii="STKaiti" w:hAnsi="STKaiti" w:eastAsia="STKaiti" w:cs="Kaiti SC Regular"/>
          <w:sz w:val="24"/>
        </w:rPr>
        <w:t>7</w:t>
      </w:r>
      <w:r>
        <w:rPr>
          <w:color w:val="000000"/>
          <w:rFonts w:hint="eastAsia" w:ascii="STKaiti" w:hAnsi="STKaiti" w:eastAsia="STKaiti" w:cs="Kaiti SC Regular"/>
          <w:sz w:val="24"/>
        </w:rPr>
        <w:t>人，其中投研3人，风控</w:t>
      </w:r>
      <w:r>
        <w:rPr>
          <w:color w:val="000000"/>
          <w:rFonts w:hint="default" w:ascii="STKaiti" w:hAnsi="STKaiti" w:eastAsia="STKaiti" w:cs="Kaiti SC Regular"/>
          <w:sz w:val="24"/>
        </w:rPr>
        <w:t>1人</w:t>
      </w:r>
      <w:r>
        <w:rPr>
          <w:color w:val="000000"/>
          <w:rFonts w:hint="eastAsia" w:ascii="STKaiti" w:hAnsi="STKaiti" w:eastAsia="STKaiti" w:cs="Kaiti SC Regular"/>
          <w:sz w:val="24"/>
        </w:rPr>
        <w:t>，市场和运营</w:t>
      </w:r>
      <w:r>
        <w:rPr>
          <w:color w:val="000000"/>
          <w:rFonts w:hint="default" w:ascii="STKaiti" w:hAnsi="STKaiti" w:eastAsia="STKaiti" w:cs="Kaiti SC Regular"/>
          <w:sz w:val="24"/>
        </w:rPr>
        <w:t>2人</w:t>
      </w:r>
      <w:r>
        <w:rPr>
          <w:color w:val="000000"/>
          <w:rFonts w:hint="eastAsia" w:ascii="STKaiti" w:hAnsi="STKaiti" w:eastAsia="STKaiti" w:cs="Kaiti SC Regular"/>
          <w:sz w:val="24"/>
        </w:rPr>
        <w:t>。</w:t>
      </w:r>
    </w:p>
    <w:p>
      <w:pPr>
        <w:ind w:firstLine="420" w:left="420"/>
        <w:jc w:val="left"/>
        <w:rPr>
          <w:color w:val="FF0000"/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分工方面，</w:t>
      </w:r>
      <w:r>
        <w:rPr>
          <w:b w:val="0"/>
          <w:color w:val="000000"/>
          <w:dstrike w:val="0"/>
          <w:i w:val="0"/>
          <w:kern w:val="2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胡天福为核心投研，副总裁</w:t>
      </w:r>
      <w:r>
        <w:rPr>
          <w:b w:val="0"/>
          <w:color w:val="000000"/>
          <w:dstrike w:val="0"/>
          <w:i w:val="0"/>
          <w:kern w:val="2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张石骏辅助，还有一位2023年中加入负责量化CTA策略的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张颖</w:t>
      </w:r>
      <w:r>
        <w:rPr>
          <w:b w:val="0"/>
          <w:color w:val="000000"/>
          <w:dstrike w:val="0"/>
          <w:i w:val="0"/>
          <w:kern w:val="2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，但管理人表示量化CTA这块目前效果不理想，对外不主推</w:t>
      </w:r>
      <w:r>
        <w:rPr>
          <w:color w:val="000000"/>
          <w:rFonts w:hint="eastAsia" w:ascii="STKaiti" w:hAnsi="STKaiti" w:eastAsia="STKaiti" w:cs="Kaiti SC Regular"/>
          <w:sz w:val="24"/>
        </w:rPr>
        <w:t>。</w:t>
      </w:r>
    </w:p>
    <w:p>
      <w:pPr>
        <w:jc w:val="left"/>
        <w:numPr>
          <w:ilvl w:val="0"/>
          <w:numId w:val="1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核心人员背景：</w:t>
      </w:r>
    </w:p>
    <w:p>
      <w:pPr>
        <w:jc w:val="left"/>
        <w:numPr>
          <w:ilvl w:val="0"/>
          <w:numId w:val="2"/>
        </w:numPr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胡天福</w:t>
      </w:r>
      <w:r>
        <w:rPr>
          <w:rFonts w:hint="eastAsia" w:ascii="STKaiti" w:hAnsi="STKaiti" w:eastAsia="STKaiti" w:cs="Kaiti SC Regular"/>
          <w:sz w:val="24"/>
        </w:rPr>
        <w:t>（总经理&amp;</w:t>
      </w:r>
      <w:r>
        <w:rPr>
          <w:rFonts w:hint="eastAsia" w:ascii="STKaiti" w:hAnsi="STKaiti" w:eastAsia="STKaiti" w:cs="Kaiti SC Regular"/>
          <w:sz w:val="24"/>
        </w:rPr>
        <w:t>投研总监</w:t>
      </w:r>
      <w:r>
        <w:rPr>
          <w:rFonts w:hint="eastAsia" w:ascii="STKaiti" w:hAnsi="STKaiti" w:eastAsia="STKaiti" w:cs="Kaiti SC Regular"/>
          <w:sz w:val="24"/>
        </w:rPr>
        <w:t>）：</w:t>
      </w:r>
      <w:r>
        <w:rPr>
          <w:rFonts w:hint="eastAsia" w:ascii="STKaiti" w:hAnsi="STKaiti" w:eastAsia="STKaiti" w:cs="Kaiti SC Regular"/>
          <w:sz w:val="24"/>
        </w:rPr>
        <w:t>上海高级金融学院金融工商管理硕士学位，计算机科学与技术学术学位</w:t>
      </w:r>
      <w:r>
        <w:rPr>
          <w:rFonts w:hint="eastAsia" w:ascii="STKaiti" w:hAnsi="STKaiti" w:eastAsia="STKaiti" w:cs="Kaiti SC Regular"/>
          <w:sz w:val="24"/>
        </w:rPr>
        <w:t>。</w:t>
      </w:r>
      <w:r>
        <w:rPr>
          <w:rFonts w:hint="default" w:ascii="STKaiti" w:hAnsi="STKaiti" w:eastAsia="STKaiti" w:cs="Kaiti SC Regular"/>
          <w:sz w:val="24"/>
        </w:rPr>
        <w:t xml:space="preserve">2004年 - 2007年在普华永道信息技术有限公司担任高级软件工程师，后2007年加入摩根士丹利上海衍生品部担任副总裁至2013年。2013 - 2014 待业。2014-2020 先后在上海淘利资产管理有限公司量化对冲部，先后担任高级金融工程师，投资总监与副总经理。后2020年8月加入英旷资产，担任总经理及投研总监。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其他人员背景：</w:t>
      </w:r>
    </w:p>
    <w:p>
      <w:pPr>
        <w:ind w:firstLine="420" w:left="420"/>
        <w:jc w:val="left"/>
        <w:rPr>
          <w:b w:val="0"/>
          <w:color w:val="auto"/>
          <w:dstrike w:val="0"/>
          <w:i w:val="0"/>
          <w:lang w:val="en-US" w:bidi="en-US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</w:pPr>
      <w:r>
        <w:rPr>
          <w:rFonts w:hint="eastAsia" w:ascii="STKaiti" w:hAnsi="STKaiti" w:eastAsia="STKaiti" w:cs="Kaiti SC Regular"/>
          <w:sz w:val="24"/>
        </w:rPr>
        <w:t>张石骏（副总裁）：</w:t>
      </w:r>
      <w:r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伊利诺伊理工学院金融学硕士学位，为胡天福在淘利资产时的同事，后一起加入英旷资产担任副总裁。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张颖（量化CTA基金经理）：</w:t>
      </w:r>
      <w:r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美国霍夫斯特拉大学金融数学专业硕士</w:t>
      </w:r>
    </w:p>
    <w:p>
      <w:pPr>
        <w:ind w:left="420"/>
        <w:jc w:val="left"/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</w:pPr>
      <w:r>
        <w:rPr>
          <w:b w:val="0"/>
          <w:color w:val="auto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学位，北京工商大学金融学学士学位。</w:t>
      </w:r>
      <w:r>
        <w:rPr>
          <w:b w:val="0"/>
          <w:color w:val="auto"/>
          <w:dstrike w:val="0"/>
          <w:i w:val="0"/>
          <w:kern w:val="2"/>
          <w:lang w:val="en-US" w:bidi="en-US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2023年6月加入英旷负责量化CTA策略。</w:t>
      </w:r>
    </w:p>
    <w:p>
      <w:pPr>
        <w:jc w:val="left"/>
        <w:rPr>
          <w:rFonts w:ascii="STKaiti" w:hAnsi="STKaiti" w:eastAsia="STKaiti" w:cs="Kaiti SC Regular"/>
          <w:sz w:val="24"/>
        </w:rPr>
      </w:pPr>
    </w:p>
    <w:p>
      <w:pPr>
        <w:pStyle w:val="6"/>
        <w:rPr>
          <w:sz w:val="24"/>
        </w:rPr>
      </w:pPr>
      <w:r>
        <w:t>投资策略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策略分类：</w:t>
      </w:r>
    </w:p>
    <w:p>
      <w:pPr>
        <w:ind w:firstLine="420" w:left="420"/>
        <w:jc w:val="left"/>
        <w:rPr>
          <w:rFonts w:hint="default"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 xml:space="preserve">股票策略 </w:t>
      </w:r>
      <w:r>
        <w:rPr>
          <w:rFonts w:hint="default" w:ascii="STKaiti" w:hAnsi="STKaiti" w:eastAsia="STKaiti" w:cs="Kaiti SC Regular"/>
          <w:sz w:val="24"/>
        </w:rPr>
        <w:t xml:space="preserve">- 股票市场中性</w:t>
      </w:r>
    </w:p>
    <w:p>
      <w:pPr>
        <w:ind w:firstLine="420" w:left="420"/>
        <w:jc w:val="left"/>
        <w:rPr>
          <w:rFonts w:hint="default" w:ascii="STKaiti" w:hAnsi="STKaiti" w:eastAsia="STKaiti" w:cs="Kaiti SC Regular"/>
          <w:sz w:val="24"/>
        </w:rPr>
      </w:pPr>
      <w:r>
        <w:rPr>
          <w:rFonts w:hint="default" w:ascii="STKaiti" w:hAnsi="STKaiti" w:eastAsia="STKaiti" w:cs="Kaiti SC Regular"/>
          <w:sz w:val="24"/>
        </w:rPr>
        <w:t xml:space="preserve">股票策略 - 量化多头（500指增，1000指增）</w:t>
      </w:r>
    </w:p>
    <w:p>
      <w:pPr>
        <w:ind w:firstLine="420" w:left="420"/>
        <w:jc w:val="left"/>
        <w:rPr>
          <w:rFonts w:hint="default" w:ascii="STKaiti" w:hAnsi="STKaiti" w:eastAsia="STKaiti" w:cs="Kaiti SC Regular"/>
          <w:sz w:val="24"/>
        </w:rPr>
      </w:pPr>
      <w:r>
        <w:rPr>
          <w:rFonts w:hint="default" w:ascii="STKaiti" w:hAnsi="STKaiti" w:eastAsia="STKaiti" w:cs="Kaiti SC Regular"/>
          <w:sz w:val="24"/>
        </w:rPr>
        <w:t xml:space="preserve">债券策略 - 转债交易策略（量化转债套利）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rFonts w:hint="default" w:ascii="STKaiti" w:hAnsi="STKaiti" w:eastAsia="STKaiti" w:cs="Kaiti SC Regular"/>
          <w:sz w:val="24"/>
        </w:rPr>
        <w:t xml:space="preserve">多资产策略 - 复合策略 (30% 可转债套利/融券多空 + 70% 市场中性）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大类资产配置：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A股，股指期货，可转债，融券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配置逻辑：</w:t>
      </w:r>
    </w:p>
    <w:p>
      <w:pPr>
        <w:ind w:firstLine="420" w:left="420"/>
        <w:jc w:val="left"/>
        <w:rPr>
          <w:color w:val="000000"/>
          <w:rFonts w:hint="eastAsia"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中性和指增多头端使用同一套选股模型，中性空头端根据</w:t>
      </w:r>
      <w:r>
        <w:rPr>
          <w:color w:val="000000"/>
          <w:rFonts w:hint="default" w:ascii="STKaiti" w:hAnsi="STKaiti" w:eastAsia="STKaiti" w:cs="Kaiti SC Regular"/>
          <w:sz w:val="24"/>
        </w:rPr>
        <w:t>500/1000多头端</w:t>
      </w:r>
      <w:r>
        <w:rPr>
          <w:color w:val="000000"/>
          <w:rFonts w:hint="eastAsia" w:ascii="STKaiti" w:hAnsi="STKaiti" w:eastAsia="STKaiti" w:cs="Kaiti SC Regular"/>
          <w:sz w:val="24"/>
        </w:rPr>
        <w:t>使用IC</w:t>
      </w:r>
      <w:r>
        <w:rPr>
          <w:color w:val="000000"/>
          <w:rFonts w:hint="default" w:ascii="STKaiti" w:hAnsi="STKaiti" w:eastAsia="STKaiti" w:cs="Kaiti SC Regular"/>
          <w:sz w:val="24"/>
        </w:rPr>
        <w:t>/IM，不留风险敞口</w:t>
      </w:r>
      <w:r>
        <w:rPr>
          <w:color w:val="000000"/>
          <w:rFonts w:hint="eastAsia" w:ascii="STKaiti" w:hAnsi="STKaiti" w:eastAsia="STKaiti" w:cs="Kaiti SC Regular"/>
          <w:sz w:val="24"/>
        </w:rPr>
        <w:t>。融券多空多头端也相同，但是用融券进行对冲。</w:t>
      </w:r>
      <w:r>
        <w:rPr>
          <w:color w:val="000000"/>
          <w:rFonts w:hint="default" w:ascii="STKaiti" w:hAnsi="STKaiti" w:eastAsia="STKaiti" w:cs="Kaiti SC Regular"/>
          <w:sz w:val="24"/>
        </w:rPr>
        <w:t xml:space="preserve">500/1000 指增选股模型相同，仅风格约束上有区别。</w:t>
      </w:r>
    </w:p>
    <w:p>
      <w:pPr>
        <w:ind w:firstLine="420" w:left="420"/>
        <w:jc w:val="left"/>
        <w:rPr>
          <w:color w:val="000000"/>
          <w:rFonts w:hint="default"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多头端上，</w:t>
      </w:r>
      <w:r>
        <w:rPr>
          <w:color w:val="000000"/>
          <w:rFonts w:hint="default" w:ascii="STKaiti" w:hAnsi="STKaiti" w:eastAsia="STKaiti" w:cs="Kaiti SC Regular"/>
          <w:sz w:val="24"/>
        </w:rPr>
        <w:t>500和1000指增多头端</w:t>
      </w:r>
      <w:r>
        <w:rPr>
          <w:color w:val="000000"/>
          <w:rFonts w:hint="eastAsia" w:ascii="STKaiti" w:hAnsi="STKaiti" w:eastAsia="STKaiti" w:cs="Kaiti SC Regular"/>
          <w:sz w:val="24"/>
        </w:rPr>
        <w:t>，目前因子库数量</w:t>
      </w:r>
      <w:r>
        <w:rPr>
          <w:color w:val="000000"/>
          <w:rFonts w:hint="default" w:ascii="STKaiti" w:hAnsi="STKaiti" w:eastAsia="STKaiti" w:cs="Kaiti SC Regular"/>
          <w:sz w:val="24"/>
        </w:rPr>
        <w:t>400+因子，实盘中会使用的因子300个左右。70%为量价因子，剩余30%为基本面，分析师预期，以及新闻公告舆情，某品牌线上销售额等另类数据。量价类因子的数据频率有分钟，日，周，两周四个不同的频率。因子70%为手工挖掘，30%为机器学习合成的因子。组合上主要使用机器学习，优化函数的逻辑是给定一个可接受的最大回撤3%，在此基础上以最大夏普对组合进行约束。模型会根据四个不同频率的量价信号叠加基本面信息和另类因子，综合择出200-300只预期收益较高的个股进行持有，个股上限不超过2%，barra控制0.5个标准差以内，还会控制与对标指数的相关性，不能低于0.85。因子模型迭代上，以月频迭代为主，会主要参考因子相关性和新因子对组合的边际收益率贡献。</w:t>
      </w:r>
    </w:p>
    <w:p>
      <w:pPr>
        <w:ind w:firstLine="420" w:left="420"/>
        <w:jc w:val="left"/>
        <w:rPr>
          <w:b w:val="0"/>
          <w:color w:val="000000"/>
          <w:dstrike w:val="0"/>
          <w:i w:val="0"/>
          <w:lang w:val="en-US" w:bidi="en-US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</w:pPr>
      <w:r>
        <w:rPr>
          <w:color w:val="000000"/>
          <w:rFonts w:hint="default" w:ascii="STKaiti" w:hAnsi="STKaiti" w:eastAsia="STKaiti" w:cs="Kaiti SC Regular"/>
          <w:sz w:val="24"/>
        </w:rPr>
        <w:t>可转债套利主要做折溢价套利和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折价转股套利。具体来说，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在折溢价套利中，</w:t>
      </w:r>
      <w:r>
        <w:rPr>
          <w:b w:val="0"/>
          <w:color w:val="000000"/>
          <w:dstrike w:val="0"/>
          <w:i w:val="0"/>
          <w:kern w:val="2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若某只可转债的价格与正股价格存在明显偏差，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投资者同时购买可转债并卖空对应正股，以锁定并获利于二者价格差。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而在折价转股套利中，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当可转债转换为正股的成本明显低于正股当前的市场价格时，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投资者会选择行使转股权利，随即将新获得的正股卖出，赚取转股价与市场价之间的价差。目前主要为统计套，转债估值方法未透露，但除了估值模型，也分析对应正股基本面，流动性边际变化等。发现套利机会后一般最多持有7个套利对，单套利对仓位占比不超过15%。目前非主推策略。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持仓特征：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中性和指增持股</w:t>
      </w:r>
      <w:r>
        <w:rPr>
          <w:rFonts w:hint="default" w:ascii="STKaiti" w:hAnsi="STKaiti" w:eastAsia="STKaiti" w:cs="Kaiti SC Regular"/>
          <w:sz w:val="24"/>
        </w:rPr>
        <w:t>200-300只满仓运作，个股上限不超过2%，未统计过指数内持仓，而是通过约束与对标指数相关性不低于0.85</w:t>
      </w:r>
      <w:r>
        <w:rPr>
          <w:rFonts w:hint="eastAsia" w:ascii="STKaiti" w:hAnsi="STKaiti" w:eastAsia="STKaiti" w:cs="Kaiti SC Regular"/>
          <w:sz w:val="24"/>
        </w:rPr>
        <w:t>。</w:t>
      </w:r>
      <w:r>
        <w:rPr>
          <w:rFonts w:hint="default" w:ascii="STKaiti" w:hAnsi="STKaiti" w:eastAsia="STKaiti" w:cs="Kaiti SC Regular"/>
          <w:sz w:val="24"/>
        </w:rPr>
        <w:t>Barra风格因子暴露控制在0.5个标准差以内。</w:t>
      </w:r>
      <w:r>
        <w:rPr>
          <w:rFonts w:hint="eastAsia" w:ascii="STKaiti" w:hAnsi="STKaiti" w:eastAsia="STKaiti" w:cs="Kaiti SC Regular"/>
          <w:sz w:val="24"/>
        </w:rPr>
        <w:t>复合策略中有</w:t>
      </w:r>
      <w:r>
        <w:rPr>
          <w:rFonts w:hint="default" w:ascii="STKaiti" w:hAnsi="STKaiti" w:eastAsia="STKaiti" w:cs="Kaiti SC Regular"/>
          <w:sz w:val="24"/>
        </w:rPr>
        <w:t>30%仓位给到转债套利或融券多空。转债套利上，单个套利对上限15%，没有机会时仓位会较低。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交易风格：</w:t>
      </w:r>
    </w:p>
    <w:p>
      <w:pPr>
        <w:ind w:firstLine="420" w:left="420"/>
        <w:jc w:val="left"/>
        <w:rPr>
          <w:color w:val="000000"/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融券多空部分年换手</w:t>
      </w:r>
      <w:r>
        <w:rPr>
          <w:color w:val="000000"/>
          <w:rFonts w:hint="default" w:ascii="STKaiti" w:hAnsi="STKaiti" w:eastAsia="STKaiti" w:cs="Kaiti SC Regular"/>
          <w:sz w:val="24"/>
        </w:rPr>
        <w:t>50倍左右，指增和中性约100倍左右，可转债套利换手未统计</w:t>
      </w:r>
      <w:r>
        <w:rPr>
          <w:color w:val="000000"/>
          <w:rFonts w:hint="eastAsia" w:ascii="STKaiti" w:hAnsi="STKaiti" w:eastAsia="STKaiti" w:cs="Kaiti SC Regular"/>
          <w:sz w:val="24"/>
        </w:rPr>
        <w:t>。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容量</w:t>
      </w:r>
      <w:r>
        <w:rPr>
          <w:b w:val="1"/>
          <w:color w:val="000000"/>
          <w:rFonts w:hint="eastAsia" w:ascii="STKaiti" w:hAnsi="STKaiti" w:eastAsia="STKaiti" w:cs="Kaiti SC Regular"/>
          <w:sz w:val="24"/>
        </w:rPr>
        <w:t>：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中性和指增</w:t>
      </w:r>
      <w:r>
        <w:rPr>
          <w:rFonts w:hint="default" w:ascii="STKaiti" w:hAnsi="STKaiti" w:eastAsia="STKaiti" w:cs="Kaiti SC Regular"/>
          <w:sz w:val="24"/>
        </w:rPr>
        <w:t>10亿</w:t>
      </w:r>
      <w:r>
        <w:rPr>
          <w:rFonts w:hint="eastAsia" w:ascii="STKaiti" w:hAnsi="STKaiti" w:eastAsia="STKaiti" w:cs="Kaiti SC Regular"/>
          <w:sz w:val="24"/>
        </w:rPr>
        <w:t>，可转债套利</w:t>
      </w:r>
      <w:r>
        <w:rPr>
          <w:rFonts w:hint="default" w:ascii="STKaiti" w:hAnsi="STKaiti" w:eastAsia="STKaiti" w:cs="Kaiti SC Regular"/>
          <w:sz w:val="24"/>
        </w:rPr>
        <w:t>3亿</w:t>
      </w:r>
      <w:r>
        <w:rPr>
          <w:rFonts w:hint="eastAsia" w:ascii="STKaiti" w:hAnsi="STKaiti" w:eastAsia="STKaiti" w:cs="Kaiti SC Regular"/>
          <w:sz w:val="24"/>
        </w:rPr>
        <w:t>。</w:t>
      </w:r>
    </w:p>
    <w:p>
      <w:pPr>
        <w:jc w:val="left"/>
        <w:rPr>
          <w:rFonts w:ascii="STKaiti" w:hAnsi="STKaiti" w:eastAsia="STKaiti" w:cs="Kaiti SC Regular"/>
          <w:sz w:val="24"/>
        </w:rPr>
      </w:pPr>
    </w:p>
    <w:p>
      <w:pPr>
        <w:pStyle w:val="6"/>
        <w:rPr>
          <w:sz w:val="24"/>
        </w:rPr>
      </w:pPr>
      <w:r>
        <w:t>风险控制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风控手段：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系统内嵌风控，</w:t>
      </w:r>
      <w:r>
        <w:rPr>
          <w:color w:val="000000"/>
          <w:rFonts w:hint="eastAsia" w:ascii="STKaiti" w:hAnsi="STKaiti" w:eastAsia="STKaiti" w:cs="Kaiti SC Regular"/>
          <w:sz w:val="24"/>
        </w:rPr>
        <w:t>事前通过</w:t>
      </w:r>
      <w:r>
        <w:rPr>
          <w:color w:val="000000"/>
          <w:rFonts w:hint="eastAsia" w:ascii="STKaiti" w:hAnsi="STKaiti" w:eastAsia="STKaiti" w:cs="Kaiti SC Regular"/>
          <w:sz w:val="24"/>
        </w:rPr>
        <w:t>分散</w:t>
      </w:r>
      <w:r>
        <w:rPr>
          <w:color w:val="000000"/>
          <w:rFonts w:hint="eastAsia" w:ascii="STKaiti" w:hAnsi="STKaiti" w:eastAsia="STKaiti" w:cs="Kaiti SC Regular"/>
          <w:sz w:val="24"/>
        </w:rPr>
        <w:t>持仓，及设定个股上限</w:t>
      </w:r>
      <w:r>
        <w:rPr>
          <w:color w:val="000000"/>
          <w:rFonts w:hint="default" w:ascii="STKaiti" w:hAnsi="STKaiti" w:eastAsia="STKaiti" w:cs="Kaiti SC Regular"/>
          <w:sz w:val="24"/>
        </w:rPr>
        <w:t>2%和barra因子风格因子暴露±0.5个标准差；中性策略100%对冲，不留风险敞口；可转债套利策略单个套利对不超过15%仓位。事中实时监控策略运行情况和异常响应，动态调整策略组合及仓位。事后对盘中数据进行归因分析，月度调整盘中使用的因子，以及因子库和模型迭代</w:t>
      </w:r>
      <w:r>
        <w:rPr>
          <w:color w:val="000000"/>
          <w:rFonts w:hint="eastAsia" w:ascii="STKaiti" w:hAnsi="STKaiti" w:eastAsia="STKaiti" w:cs="Kaiti SC Regular"/>
          <w:sz w:val="24"/>
        </w:rPr>
        <w:t>。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风控效果：</w:t>
      </w:r>
    </w:p>
    <w:p>
      <w:pPr>
        <w:ind w:firstLine="420" w:left="420"/>
        <w:jc w:val="left"/>
        <w:rPr>
          <w:color w:val="000000"/>
          <w:rFonts w:hint="default"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中性产品参考英旷尊享</w:t>
      </w:r>
      <w:r>
        <w:rPr>
          <w:color w:val="000000"/>
          <w:rFonts w:hint="default" w:ascii="STKaiti" w:hAnsi="STKaiti" w:eastAsia="STKaiti" w:cs="Kaiti SC Regular"/>
          <w:sz w:val="24"/>
        </w:rPr>
        <w:t>2号，成立2年以来，最大回撤3.73%，发生在2023年8月，不到一个月修复。近1年最大回撤排名前76%，夏普比率排名前40%，风控效果一般。</w:t>
      </w:r>
    </w:p>
    <w:p>
      <w:pPr>
        <w:ind w:firstLine="420" w:left="420"/>
        <w:jc w:val="left"/>
        <w:rPr>
          <w:color w:val="000000"/>
          <w:rFonts w:ascii="STKaiti" w:hAnsi="STKaiti" w:eastAsia="STKaiti" w:cs="Kaiti SC Regular"/>
          <w:sz w:val="24"/>
        </w:rPr>
      </w:pPr>
      <w:r>
        <w:rPr>
          <w:color w:val="000000"/>
          <w:rFonts w:hint="default" w:ascii="STKaiti" w:hAnsi="STKaiti" w:eastAsia="STKaiti" w:cs="Kaiti SC Regular"/>
          <w:sz w:val="24"/>
        </w:rPr>
        <w:t>指增产品参考英旷中证500指数增强1号，规模小于500万，成立1年以来，最大回撤20.52%，发生在2024年2月，超额最大回撤5.2%，发生在2023年3月。近一年超额夏普比率1.76，风控效果一般。</w:t>
      </w:r>
    </w:p>
    <w:p>
      <w:pPr>
        <w:ind w:firstLine="420" w:left="420"/>
        <w:jc w:val="left"/>
        <w:rPr>
          <w:color w:val="000000"/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可转债套利策略参考英旷专享</w:t>
      </w:r>
      <w:r>
        <w:rPr>
          <w:color w:val="000000"/>
          <w:rFonts w:hint="default" w:ascii="STKaiti" w:hAnsi="STKaiti" w:eastAsia="STKaiti" w:cs="Kaiti SC Regular"/>
          <w:sz w:val="24"/>
        </w:rPr>
        <w:t>1号，2023年前为中性策略，2023年1月开始转为可转债套利策略</w:t>
      </w:r>
      <w:r>
        <w:rPr>
          <w:color w:val="000000"/>
          <w:rFonts w:hint="eastAsia" w:ascii="STKaiti" w:hAnsi="STKaiti" w:eastAsia="STKaiti" w:cs="Kaiti SC Regular"/>
          <w:sz w:val="24"/>
        </w:rPr>
        <w:t>。策略运行</w:t>
      </w:r>
      <w:r>
        <w:rPr>
          <w:color w:val="000000"/>
          <w:rFonts w:hint="default" w:ascii="STKaiti" w:hAnsi="STKaiti" w:eastAsia="STKaiti" w:cs="Kaiti SC Regular"/>
          <w:sz w:val="24"/>
        </w:rPr>
        <w:t>1年以来，最大回撤2.02%，夏普比率1.52，风控效果尚可。</w:t>
      </w:r>
    </w:p>
    <w:p>
      <w:pPr>
        <w:jc w:val="left"/>
        <w:rPr>
          <w:rFonts w:ascii="STKaiti" w:hAnsi="STKaiti" w:eastAsia="STKaiti" w:cs="Kaiti SC Regular"/>
          <w:sz w:val="24"/>
        </w:rPr>
      </w:pPr>
    </w:p>
    <w:p>
      <w:pPr>
        <w:pStyle w:val="6"/>
        <w:rPr>
          <w:sz w:val="24"/>
        </w:rPr>
      </w:pPr>
      <w:r>
        <w:t>产品情况</w:t>
      </w:r>
    </w:p>
    <w:p>
      <w:pPr>
        <w:jc w:val="left"/>
        <w:numPr>
          <w:ilvl w:val="0"/>
          <w:numId w:val="3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管理规模：</w:t>
      </w:r>
    </w:p>
    <w:p>
      <w:pPr>
        <w:ind w:firstLine="420" w:left="420"/>
        <w:jc w:val="left"/>
        <w:rPr>
          <w:color w:val="FF0000"/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管理规模</w:t>
      </w:r>
      <w:r>
        <w:rPr>
          <w:color w:val="000000"/>
          <w:rFonts w:hint="default" w:ascii="STKaiti" w:hAnsi="STKaiti" w:eastAsia="STKaiti" w:cs="Kaiti SC Regular"/>
          <w:sz w:val="24"/>
        </w:rPr>
        <w:t>1</w:t>
      </w:r>
      <w:r>
        <w:rPr>
          <w:color w:val="000000"/>
          <w:rFonts w:hint="eastAsia" w:ascii="STKaiti" w:hAnsi="STKaiti" w:eastAsia="STKaiti" w:cs="Kaiti SC Regular"/>
          <w:sz w:val="24"/>
        </w:rPr>
        <w:t>亿。其中中性策略</w:t>
      </w:r>
      <w:r>
        <w:rPr>
          <w:color w:val="000000"/>
          <w:rFonts w:hint="default" w:ascii="STKaiti" w:hAnsi="STKaiti" w:eastAsia="STKaiti" w:cs="Kaiti SC Regular"/>
          <w:sz w:val="24"/>
        </w:rPr>
        <w:t>7500万，指增策略1000万，可转债套利策略1000万，量化CTA策略不到500万</w:t>
      </w:r>
      <w:r>
        <w:rPr>
          <w:color w:val="000000"/>
          <w:rFonts w:hint="eastAsia" w:ascii="STKaiti" w:hAnsi="STKaiti" w:eastAsia="STKaiti" w:cs="Kaiti SC Regular"/>
          <w:sz w:val="24"/>
        </w:rPr>
        <w:t>。</w:t>
      </w:r>
    </w:p>
    <w:p>
      <w:pPr>
        <w:ind w:firstLine="420" w:left="420"/>
        <w:jc w:val="left"/>
        <w:rPr>
          <w:color w:val="000000"/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资金来源方面，</w:t>
      </w:r>
      <w:r>
        <w:rPr>
          <w:color w:val="000000"/>
          <w:rFonts w:hint="default" w:ascii="STKaiti" w:hAnsi="STKaiti" w:eastAsia="STKaiti" w:cs="Kaiti SC Regular"/>
          <w:sz w:val="24"/>
        </w:rPr>
        <w:t>40%为机构直销资金，剩余为自营资金和朋友的资金</w:t>
      </w:r>
      <w:r>
        <w:rPr>
          <w:color w:val="000000"/>
          <w:rFonts w:hint="eastAsia" w:ascii="STKaiti" w:hAnsi="STKaiti" w:eastAsia="STKaiti" w:cs="Kaiti SC Regular"/>
          <w:sz w:val="24"/>
        </w:rPr>
        <w:t>。</w:t>
      </w:r>
    </w:p>
    <w:p>
      <w:pPr>
        <w:jc w:val="left"/>
        <w:numPr>
          <w:ilvl w:val="0"/>
          <w:numId w:val="3"/>
        </w:numPr>
        <w:rPr>
          <w:b w:val="1"/>
          <w:color w:val="000000"/>
          <w:rFonts w:ascii="STKaiti" w:hAnsi="STKaiti" w:eastAsia="STKaiti" w:cs="Kaiti SC Regular"/>
          <w:sz w:val="24"/>
        </w:rPr>
      </w:pPr>
      <w:r>
        <w:rPr>
          <w:b w:val="1"/>
          <w:rFonts w:hint="eastAsia" w:ascii="STKaiti" w:hAnsi="STKaiti" w:eastAsia="STKaiti" w:cs="Kaiti SC Regular"/>
          <w:sz w:val="24"/>
        </w:rPr>
        <w:t>产品概述：</w:t>
      </w:r>
    </w:p>
    <w:p>
      <w:pPr>
        <w:ind w:firstLine="420" w:left="420"/>
        <w:jc w:val="left"/>
        <w:rPr>
          <w:color w:val="FF0000"/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运行产品</w:t>
      </w:r>
      <w:r>
        <w:rPr>
          <w:color w:val="000000"/>
          <w:rFonts w:hint="default" w:ascii="STKaiti" w:hAnsi="STKaiti" w:eastAsia="STKaiti" w:cs="Kaiti SC Regular"/>
          <w:sz w:val="24"/>
        </w:rPr>
        <w:t>8</w:t>
      </w:r>
      <w:r>
        <w:rPr>
          <w:color w:val="000000"/>
          <w:rFonts w:hint="eastAsia" w:ascii="STKaiti" w:hAnsi="STKaiti" w:eastAsia="STKaiti" w:cs="Kaiti SC Regular"/>
          <w:sz w:val="24"/>
        </w:rPr>
        <w:t>只，</w:t>
      </w:r>
      <w:r>
        <w:rPr>
          <w:color w:val="000000"/>
          <w:rFonts w:hint="default" w:ascii="STKaiti" w:hAnsi="STKaiti" w:eastAsia="STKaiti" w:cs="Kaiti SC Regular"/>
          <w:sz w:val="24"/>
        </w:rPr>
        <w:t>7只在</w:t>
      </w:r>
      <w:r>
        <w:rPr>
          <w:color w:val="000000"/>
          <w:rFonts w:hint="eastAsia" w:ascii="STKaiti" w:hAnsi="STKaiti" w:eastAsia="STKaiti" w:cs="Kaiti SC Regular"/>
          <w:sz w:val="24"/>
        </w:rPr>
        <w:t>组合大师有净值更新。没有清算产品。</w:t>
      </w:r>
    </w:p>
    <w:p>
      <w:pPr>
        <w:ind w:firstLine="420" w:left="420"/>
        <w:jc w:val="left"/>
        <w:rPr>
          <w:color w:val="FF0000"/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目前运行产品中，尊享一号为</w:t>
      </w:r>
      <w:r>
        <w:rPr>
          <w:color w:val="000000"/>
          <w:rFonts w:hint="default" w:ascii="STKaiti" w:hAnsi="STKaiti" w:eastAsia="STKaiti" w:cs="Kaiti SC Regular"/>
          <w:sz w:val="24"/>
        </w:rPr>
        <w:t xml:space="preserve">30%的可转债套利/融券多空 + 70% 的市场中性。目前由于券源和成本问题，30%的仓位</w:t>
      </w:r>
      <w:r>
        <w:rPr>
          <w:color w:val="000000"/>
          <w:rFonts w:hint="default" w:ascii="STKaiti" w:hAnsi="STKaiti" w:eastAsia="STKaiti" w:cs="Kaiti SC Regular"/>
          <w:sz w:val="24"/>
        </w:rPr>
        <w:t>几乎</w:t>
      </w:r>
      <w:r>
        <w:rPr>
          <w:color w:val="000000"/>
          <w:rFonts w:hint="default" w:ascii="STKaiti" w:hAnsi="STKaiti" w:eastAsia="STKaiti" w:cs="Kaiti SC Regular"/>
          <w:sz w:val="24"/>
        </w:rPr>
        <w:t>都在可转债套利；尊享二号为股票市场中性策略，多头端为一定比例的500指增和1000指增多头，具体比例管理人未透露，但截止至尽调时，1000的比例在5成以上，相应的用IC/IM对冲；英旷专享一号，净值在2023年1月前为隐藏状态，原因是当时为管理人朋友成立的产品，下投尊享一号，因此隐藏了净值。后朋友赎回后，100%仓位都在可转债套利策略。</w:t>
      </w:r>
    </w:p>
    <w:p>
      <w:pPr>
        <w:jc w:val="left"/>
        <w:numPr>
          <w:ilvl w:val="0"/>
          <w:numId w:val="4"/>
        </w:numPr>
        <w:rPr>
          <w:b w:val="1"/>
          <w:rFonts w:ascii="STKaiti" w:hAnsi="STKaiti" w:eastAsia="STKaiti" w:cs="Kaiti SC Regular"/>
          <w:sz w:val="24"/>
        </w:rPr>
      </w:pPr>
      <w:r>
        <w:rPr>
          <w:b w:val="1"/>
          <w:color w:val="000000"/>
          <w:rFonts w:hint="eastAsia" w:ascii="STKaiti" w:hAnsi="STKaiti" w:eastAsia="STKaiti" w:cs="Kaiti SC Regular"/>
          <w:sz w:val="24"/>
        </w:rPr>
        <w:t>代表产品：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英旷尊享一号</w:t>
      </w:r>
      <w:r>
        <w:rPr>
          <w:rFonts w:hint="eastAsia" w:ascii="STKaiti" w:hAnsi="STKaiti" w:eastAsia="STKaiti" w:cs="Kaiti SC Regular"/>
          <w:sz w:val="24"/>
        </w:rPr>
        <w:t>，复合策略（</w:t>
      </w:r>
      <w:r>
        <w:rPr>
          <w:color w:val="000000"/>
          <w:rFonts w:hint="default" w:ascii="STKaiti" w:hAnsi="STKaiti" w:eastAsia="STKaiti" w:cs="Kaiti SC Regular"/>
          <w:sz w:val="24"/>
        </w:rPr>
        <w:t xml:space="preserve">30%的可转债套利/融券多空 + 70% 的市场中性</w:t>
      </w:r>
      <w:r>
        <w:rPr>
          <w:rFonts w:hint="eastAsia" w:ascii="STKaiti" w:hAnsi="STKaiti" w:eastAsia="STKaiti" w:cs="Kaiti SC Regular"/>
          <w:sz w:val="24"/>
        </w:rPr>
        <w:t>）</w:t>
      </w:r>
      <w:r>
        <w:rPr>
          <w:rFonts w:hint="eastAsia" w:ascii="STKaiti" w:hAnsi="STKaiti" w:eastAsia="STKaiti" w:cs="Kaiti SC Regular"/>
          <w:sz w:val="24"/>
        </w:rPr>
        <w:t>，运</w:t>
      </w:r>
      <w:r>
        <w:rPr>
          <w:rFonts w:hint="eastAsia" w:ascii="STKaiti" w:hAnsi="STKaiti" w:eastAsia="STKaiti" w:cs="Kaiti SC Regular"/>
          <w:sz w:val="24"/>
        </w:rPr>
        <w:t>行</w:t>
      </w:r>
      <w:r>
        <w:rPr>
          <w:rFonts w:hint="default" w:ascii="STKaiti" w:hAnsi="STKaiti" w:eastAsia="STKaiti" w:cs="Kaiti SC Regular"/>
          <w:sz w:val="24"/>
        </w:rPr>
        <w:t>3</w:t>
      </w:r>
      <w:r>
        <w:rPr>
          <w:rFonts w:hint="eastAsia" w:ascii="STKaiti" w:hAnsi="STKaiti" w:eastAsia="STKaiti" w:cs="Kaiti SC Regular"/>
          <w:sz w:val="24"/>
        </w:rPr>
        <w:t>年</w:t>
      </w:r>
      <w:r>
        <w:rPr>
          <w:color w:val="000000"/>
          <w:rFonts w:hint="eastAsia" w:ascii="STKaiti" w:hAnsi="STKaiti" w:eastAsia="STKaiti" w:cs="Kaiti SC Regular"/>
          <w:sz w:val="24"/>
        </w:rPr>
        <w:t>，规模</w:t>
      </w:r>
      <w:r>
        <w:rPr>
          <w:color w:val="000000"/>
          <w:rFonts w:hint="default" w:ascii="STKaiti" w:hAnsi="STKaiti" w:eastAsia="STKaiti" w:cs="Kaiti SC Regular"/>
          <w:sz w:val="24"/>
        </w:rPr>
        <w:t>5000</w:t>
      </w:r>
      <w:r>
        <w:rPr>
          <w:color w:val="000000"/>
          <w:rFonts w:hint="eastAsia" w:ascii="STKaiti" w:hAnsi="STKaiti" w:eastAsia="STKaiti" w:cs="Kaiti SC Regular"/>
          <w:sz w:val="24"/>
        </w:rPr>
        <w:t>万。该产品运行时间较长，并作为目前主要对外的产品，故选作代表产品。</w:t>
      </w:r>
    </w:p>
    <w:p>
      <w:pPr>
        <w:jc w:val="left"/>
        <w:numPr>
          <w:ilvl w:val="0"/>
          <w:numId w:val="5"/>
        </w:numPr>
        <w:rPr>
          <w:rFonts w:ascii="STKaiti" w:hAnsi="STKaiti" w:eastAsia="STKaiti" w:cs="Kaiti SC Regular"/>
          <w:sz w:val="24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风险收益表现：累计收益</w:t>
      </w:r>
      <w:r>
        <w:rPr>
          <w:color w:val="000000"/>
          <w:rFonts w:hint="default" w:ascii="STKaiti" w:hAnsi="STKaiti" w:eastAsia="STKaiti" w:cs="Kaiti SC Regular"/>
          <w:sz w:val="24"/>
        </w:rPr>
        <w:t>35.29</w:t>
      </w:r>
      <w:r>
        <w:rPr>
          <w:color w:val="000000"/>
          <w:rFonts w:hint="eastAsia" w:ascii="STKaiti" w:hAnsi="STKaiti" w:eastAsia="STKaiti" w:cs="Kaiti SC Regular"/>
          <w:sz w:val="24"/>
        </w:rPr>
        <w:t>%，20</w:t>
      </w:r>
      <w:r>
        <w:rPr>
          <w:color w:val="000000"/>
          <w:rFonts w:hint="default" w:ascii="STKaiti" w:hAnsi="STKaiti" w:eastAsia="STKaiti" w:cs="Kaiti SC Regular"/>
          <w:sz w:val="24"/>
        </w:rPr>
        <w:t>21</w:t>
      </w:r>
      <w:r>
        <w:rPr>
          <w:color w:val="000000"/>
          <w:rFonts w:hint="eastAsia" w:ascii="STKaiti" w:hAnsi="STKaiti" w:eastAsia="STKaiti" w:cs="Kaiti SC Regular"/>
          <w:sz w:val="24"/>
        </w:rPr>
        <w:t>-202</w:t>
      </w:r>
      <w:r>
        <w:rPr>
          <w:color w:val="000000"/>
          <w:rFonts w:hint="default" w:ascii="STKaiti" w:hAnsi="STKaiti" w:eastAsia="STKaiti" w:cs="Kaiti SC Regular"/>
          <w:sz w:val="24"/>
        </w:rPr>
        <w:t>3</w:t>
      </w:r>
      <w:r>
        <w:rPr>
          <w:color w:val="000000"/>
          <w:rFonts w:hint="eastAsia" w:ascii="STKaiti" w:hAnsi="STKaiti" w:eastAsia="STKaiti" w:cs="Kaiti SC Regular"/>
          <w:sz w:val="24"/>
        </w:rPr>
        <w:t>年收益分别为</w:t>
      </w:r>
      <w:r>
        <w:rPr>
          <w:color w:val="000000"/>
          <w:rFonts w:hint="default" w:ascii="STKaiti" w:hAnsi="STKaiti" w:eastAsia="STKaiti" w:cs="Kaiti SC Regular"/>
          <w:sz w:val="24"/>
        </w:rPr>
        <w:t>19.77</w:t>
      </w:r>
      <w:r>
        <w:rPr>
          <w:color w:val="000000"/>
          <w:rFonts w:hint="eastAsia" w:ascii="STKaiti" w:hAnsi="STKaiti" w:eastAsia="STKaiti" w:cs="Kaiti SC Regular"/>
          <w:sz w:val="24"/>
        </w:rPr>
        <w:t>%、</w:t>
      </w:r>
      <w:r>
        <w:rPr>
          <w:color w:val="000000"/>
          <w:rFonts w:hint="default" w:ascii="STKaiti" w:hAnsi="STKaiti" w:eastAsia="STKaiti" w:cs="Kaiti SC Regular"/>
          <w:sz w:val="24"/>
        </w:rPr>
        <w:t>-1.6</w:t>
      </w:r>
      <w:r>
        <w:rPr>
          <w:color w:val="000000"/>
          <w:rFonts w:hint="eastAsia" w:ascii="STKaiti" w:hAnsi="STKaiti" w:eastAsia="STKaiti" w:cs="Kaiti SC Regular"/>
          <w:sz w:val="24"/>
        </w:rPr>
        <w:t>%、</w:t>
      </w:r>
      <w:r>
        <w:rPr>
          <w:color w:val="000000"/>
          <w:rFonts w:hint="default" w:ascii="STKaiti" w:hAnsi="STKaiti" w:eastAsia="STKaiti" w:cs="Kaiti SC Regular"/>
          <w:sz w:val="24"/>
        </w:rPr>
        <w:t>12.13</w:t>
      </w:r>
      <w:r>
        <w:rPr>
          <w:color w:val="000000"/>
          <w:rFonts w:hint="eastAsia" w:ascii="STKaiti" w:hAnsi="STKaiti" w:eastAsia="STKaiti" w:cs="Kaiti SC Regular"/>
          <w:sz w:val="24"/>
        </w:rPr>
        <w:t>%，年化收益</w:t>
      </w:r>
      <w:r>
        <w:rPr>
          <w:color w:val="000000"/>
          <w:rFonts w:hint="default" w:ascii="STKaiti" w:hAnsi="STKaiti" w:eastAsia="STKaiti" w:cs="Kaiti SC Regular"/>
          <w:sz w:val="24"/>
        </w:rPr>
        <w:t>10.09</w:t>
      </w:r>
      <w:r>
        <w:rPr>
          <w:color w:val="000000"/>
          <w:rFonts w:hint="eastAsia" w:ascii="STKaiti" w:hAnsi="STKaiti" w:eastAsia="STKaiti" w:cs="Kaiti SC Regular"/>
          <w:sz w:val="24"/>
        </w:rPr>
        <w:t>%，最大回撤</w:t>
      </w:r>
      <w:r>
        <w:rPr>
          <w:color w:val="000000"/>
          <w:rFonts w:hint="default" w:ascii="STKaiti" w:hAnsi="STKaiti" w:eastAsia="STKaiti" w:cs="Kaiti SC Regular"/>
          <w:sz w:val="24"/>
        </w:rPr>
        <w:t>2.92</w:t>
      </w:r>
      <w:r>
        <w:rPr>
          <w:color w:val="000000"/>
          <w:rFonts w:hint="eastAsia" w:ascii="STKaiti" w:hAnsi="STKaiti" w:eastAsia="STKaiti" w:cs="Kaiti SC Regular"/>
          <w:sz w:val="24"/>
        </w:rPr>
        <w:t>%，发生在202</w:t>
      </w:r>
      <w:r>
        <w:rPr>
          <w:color w:val="000000"/>
          <w:rFonts w:hint="default" w:ascii="STKaiti" w:hAnsi="STKaiti" w:eastAsia="STKaiti" w:cs="Kaiti SC Regular"/>
          <w:sz w:val="24"/>
        </w:rPr>
        <w:t>2</w:t>
      </w:r>
      <w:r>
        <w:rPr>
          <w:color w:val="000000"/>
          <w:rFonts w:hint="eastAsia" w:ascii="STKaiti" w:hAnsi="STKaiti" w:eastAsia="STKaiti" w:cs="Kaiti SC Regular"/>
          <w:sz w:val="24"/>
        </w:rPr>
        <w:t>年底，</w:t>
      </w:r>
      <w:r>
        <w:rPr>
          <w:color w:val="000000"/>
          <w:rFonts w:hint="default" w:ascii="STKaiti" w:hAnsi="STKaiti" w:eastAsia="STKaiti" w:cs="Kaiti SC Regular"/>
          <w:sz w:val="24"/>
        </w:rPr>
        <w:t>2个月后修复</w:t>
      </w:r>
      <w:r>
        <w:rPr>
          <w:color w:val="000000"/>
          <w:rFonts w:hint="eastAsia" w:ascii="STKaiti" w:hAnsi="STKaiti" w:eastAsia="STKaiti" w:cs="Kaiti SC Regular"/>
          <w:sz w:val="24"/>
        </w:rPr>
        <w:t>。近1/2</w:t>
      </w:r>
      <w:r>
        <w:rPr>
          <w:color w:val="000000"/>
          <w:rFonts w:hint="default" w:ascii="STKaiti" w:hAnsi="STKaiti" w:eastAsia="STKaiti" w:cs="Kaiti SC Regular"/>
          <w:sz w:val="24"/>
        </w:rPr>
        <w:t>/3</w:t>
      </w:r>
      <w:r>
        <w:rPr>
          <w:color w:val="000000"/>
          <w:rFonts w:hint="eastAsia" w:ascii="STKaiti" w:hAnsi="STKaiti" w:eastAsia="STKaiti" w:cs="Kaiti SC Regular"/>
          <w:sz w:val="24"/>
        </w:rPr>
        <w:t>年收益排名同策略前</w:t>
      </w:r>
      <w:r>
        <w:rPr>
          <w:color w:val="000000"/>
          <w:rFonts w:hint="default" w:ascii="STKaiti" w:hAnsi="STKaiti" w:eastAsia="STKaiti" w:cs="Kaiti SC Regular"/>
          <w:sz w:val="24"/>
        </w:rPr>
        <w:t>21</w:t>
      </w:r>
      <w:r>
        <w:rPr>
          <w:color w:val="000000"/>
          <w:rFonts w:hint="eastAsia" w:ascii="STKaiti" w:hAnsi="STKaiti" w:eastAsia="STKaiti" w:cs="Kaiti SC Regular"/>
          <w:sz w:val="24"/>
        </w:rPr>
        <w:t>%/</w:t>
      </w:r>
      <w:r>
        <w:rPr>
          <w:color w:val="000000"/>
          <w:rFonts w:hint="default" w:ascii="STKaiti" w:hAnsi="STKaiti" w:eastAsia="STKaiti" w:cs="Kaiti SC Regular"/>
          <w:sz w:val="24"/>
        </w:rPr>
        <w:t>57</w:t>
      </w:r>
      <w:r>
        <w:rPr>
          <w:color w:val="000000"/>
          <w:rFonts w:hint="eastAsia" w:ascii="STKaiti" w:hAnsi="STKaiti" w:eastAsia="STKaiti" w:cs="Kaiti SC Regular"/>
          <w:sz w:val="24"/>
        </w:rPr>
        <w:t>%/</w:t>
      </w:r>
      <w:r>
        <w:rPr>
          <w:color w:val="000000"/>
          <w:rFonts w:hint="default" w:ascii="STKaiti" w:hAnsi="STKaiti" w:eastAsia="STKaiti" w:cs="Kaiti SC Regular"/>
          <w:sz w:val="24"/>
        </w:rPr>
        <w:t>21</w:t>
      </w:r>
      <w:r>
        <w:rPr>
          <w:color w:val="000000"/>
          <w:rFonts w:hint="eastAsia" w:ascii="STKaiti" w:hAnsi="STKaiti" w:eastAsia="STKaiti" w:cs="Kaiti SC Regular"/>
          <w:sz w:val="24"/>
        </w:rPr>
        <w:t>%，最大回撤排名前</w:t>
      </w:r>
      <w:r>
        <w:rPr>
          <w:color w:val="000000"/>
          <w:rFonts w:hint="default" w:ascii="STKaiti" w:hAnsi="STKaiti" w:eastAsia="STKaiti" w:cs="Kaiti SC Regular"/>
          <w:sz w:val="24"/>
        </w:rPr>
        <w:t>65</w:t>
      </w:r>
      <w:r>
        <w:rPr>
          <w:color w:val="000000"/>
          <w:rFonts w:hint="eastAsia" w:ascii="STKaiti" w:hAnsi="STKaiti" w:eastAsia="STKaiti" w:cs="Kaiti SC Regular"/>
          <w:sz w:val="24"/>
        </w:rPr>
        <w:t>%/</w:t>
      </w:r>
      <w:r>
        <w:rPr>
          <w:color w:val="000000"/>
          <w:rFonts w:hint="default" w:ascii="STKaiti" w:hAnsi="STKaiti" w:eastAsia="STKaiti" w:cs="Kaiti SC Regular"/>
          <w:sz w:val="24"/>
        </w:rPr>
        <w:t>25</w:t>
      </w:r>
      <w:r>
        <w:rPr>
          <w:color w:val="000000"/>
          <w:rFonts w:hint="eastAsia" w:ascii="STKaiti" w:hAnsi="STKaiti" w:eastAsia="STKaiti" w:cs="Kaiti SC Regular"/>
          <w:sz w:val="24"/>
        </w:rPr>
        <w:t>%/</w:t>
      </w:r>
      <w:r>
        <w:rPr>
          <w:color w:val="000000"/>
          <w:rFonts w:hint="default" w:ascii="STKaiti" w:hAnsi="STKaiti" w:eastAsia="STKaiti" w:cs="Kaiti SC Regular"/>
          <w:sz w:val="24"/>
        </w:rPr>
        <w:t>17</w:t>
      </w:r>
      <w:r>
        <w:rPr>
          <w:color w:val="000000"/>
          <w:rFonts w:hint="eastAsia" w:ascii="STKaiti" w:hAnsi="STKaiti" w:eastAsia="STKaiti" w:cs="Kaiti SC Regular"/>
          <w:sz w:val="24"/>
        </w:rPr>
        <w:t>%，夏普排名前</w:t>
      </w:r>
      <w:r>
        <w:rPr>
          <w:color w:val="000000"/>
          <w:rFonts w:hint="default" w:ascii="STKaiti" w:hAnsi="STKaiti" w:eastAsia="STKaiti" w:cs="Kaiti SC Regular"/>
          <w:sz w:val="24"/>
        </w:rPr>
        <w:t>35</w:t>
      </w:r>
      <w:r>
        <w:rPr>
          <w:color w:val="000000"/>
          <w:rFonts w:hint="eastAsia" w:ascii="STKaiti" w:hAnsi="STKaiti" w:eastAsia="STKaiti" w:cs="Kaiti SC Regular"/>
          <w:sz w:val="24"/>
        </w:rPr>
        <w:t>%/</w:t>
      </w:r>
      <w:r>
        <w:rPr>
          <w:color w:val="000000"/>
          <w:rFonts w:hint="default" w:ascii="STKaiti" w:hAnsi="STKaiti" w:eastAsia="STKaiti" w:cs="Kaiti SC Regular"/>
          <w:sz w:val="24"/>
        </w:rPr>
        <w:t>54</w:t>
      </w:r>
      <w:r>
        <w:rPr>
          <w:color w:val="000000"/>
          <w:rFonts w:hint="eastAsia" w:ascii="STKaiti" w:hAnsi="STKaiti" w:eastAsia="STKaiti" w:cs="Kaiti SC Regular"/>
          <w:sz w:val="24"/>
        </w:rPr>
        <w:t>%/2</w:t>
      </w:r>
      <w:r>
        <w:rPr>
          <w:color w:val="000000"/>
          <w:rFonts w:hint="default" w:ascii="STKaiti" w:hAnsi="STKaiti" w:eastAsia="STKaiti" w:cs="Kaiti SC Regular"/>
          <w:sz w:val="24"/>
        </w:rPr>
        <w:t>4</w:t>
      </w:r>
      <w:r>
        <w:rPr>
          <w:color w:val="000000"/>
          <w:rFonts w:hint="eastAsia" w:ascii="STKaiti" w:hAnsi="STKaiti" w:eastAsia="STKaiti" w:cs="Kaiti SC Regular"/>
          <w:sz w:val="24"/>
        </w:rPr>
        <w:t>%。</w:t>
      </w:r>
    </w:p>
    <w:p>
      <w:pPr>
        <w:jc w:val="left"/>
        <w:numPr>
          <w:ilvl w:val="0"/>
          <w:numId w:val="5"/>
        </w:numPr>
        <w:rPr>
          <w:b w:val="0"/>
          <w:color w:val="000000"/>
          <w:dstrike w:val="0"/>
          <w:i w:val="0"/>
          <w:lang w:val="en-US" w:bidi="en-US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</w:pPr>
      <w:r>
        <w:rPr>
          <w:color w:val="000000"/>
          <w:rFonts w:hint="eastAsia" w:ascii="STKaiti" w:hAnsi="STKaiti" w:eastAsia="STKaiti" w:cs="Kaiti SC Regular"/>
          <w:sz w:val="24"/>
        </w:rPr>
        <w:t>复盘及归因：</w:t>
      </w:r>
      <w:r>
        <w:rPr>
          <w:b w:val="0"/>
          <w:color w:val="000000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英旷尊享一号在早期阶段完全采用融券对冲作为市场中性策略。该产品自2020年底成立以来，规模一度扩张至</w:t>
      </w:r>
      <w:r>
        <w:rPr>
          <w:b w:val="0"/>
          <w:color w:val="000000"/>
          <w:dstrike w:val="0"/>
          <w:i w:val="0"/>
          <w:kern w:val="2"/>
          <w:lang w:val="en-US" w:bidi="en-US"/>
          <w:rFonts w:hint="default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2</w:t>
      </w:r>
      <w:r>
        <w:rPr>
          <w:b w:val="0"/>
          <w:color w:val="000000"/>
          <w:dstrike w:val="0"/>
          <w:i w:val="0"/>
          <w:kern w:val="2"/>
          <w:lang w:val="en-US" w:bidi="en-US"/>
          <w:rFonts w:hint="eastAsia" w:ascii="STKaiti" w:hAnsi="STKaiti" w:eastAsia="STKaiti" w:cs="Kaiti SC Regular"/>
          <w:spacing w:val="0"/>
          <w:strike w:val="0"/>
          <w:sz w:val="24"/>
          <w:szCs w:val="24"/>
          <w:u w:val="none"/>
          <w:vertAlign w:val="baseline"/>
          <w:w w:val="100"/>
        </w:rPr>
        <w:t>亿。然而，在2022年初，面对一位主要客户的大规模赎回，产品不得不进行大量融券头寸的平仓操作，即买回先前卖空的股票以归还借入股份。这一过程中，由于市场流动性限制，导致了显著的冲击成本，进一步对投资组合的净值产生负面影响。此次成本冲击侵蚀了产品的alpha收益，引发了更多机构的赎回，从而导致了规模的缩减至当前的5000万，并使得净值表现平稳。</w:t>
      </w:r>
      <w:r>
        <w:rPr>
          <w:b w:val="0"/>
          <w:color w:val="000000"/>
          <w:dstrike w:val="0"/>
          <w:i w:val="0"/>
          <w:kern w:val="2"/>
          <w:lang w:val="en-US" w:bidi="en-US"/>
          <w:rFonts w:hint="eastAsia" w:ascii="STKaiti" w:hAnsi="STKaiti" w:eastAsia="STKaiti" w:cs="Kaiti SC Regular"/>
          <w:rtl w:val="0"/>
          <w:spacing w:val="0"/>
          <w:strike w:val="0"/>
          <w:sz w:val="24"/>
          <w:szCs w:val="24"/>
          <w:u w:val="none"/>
          <w:vertAlign w:val="baseline"/>
          <w:w w:val="100"/>
        </w:rPr>
        <w:t>为了降低冲击成本并优化收益表现，自2023年起，产品调整对冲策略，引入股指期货对冲，将融券对冲的仓位上限设定为30%。在这一调整后，可转债套利与融券多空策略共同构成复合策略的30%部分。策略调整明显提升了产品的绝对收益表现，使其在2023年之后的市场中展现出了良好的收益情况。</w:t>
      </w:r>
    </w:p>
    <w:p>
      <w:pPr>
        <w:jc w:val="left"/>
        <w:numPr>
          <w:ilvl w:val="0"/>
          <w:numId w:val="3"/>
        </w:numPr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其</w:t>
      </w:r>
      <w:r>
        <w:rPr>
          <w:rFonts w:hint="eastAsia" w:ascii="STKaiti" w:hAnsi="STKaiti" w:eastAsia="STKaiti" w:cs="Kaiti SC Regular"/>
          <w:sz w:val="24"/>
        </w:rPr>
        <w:t>他产品：</w:t>
      </w:r>
    </w:p>
    <w:p>
      <w:pPr>
        <w:ind w:firstLine="420" w:left="420"/>
        <w:jc w:val="left"/>
        <w:rPr>
          <w:rFonts w:hint="eastAsia"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专享一号为纯转债套利产品，规模</w:t>
      </w:r>
      <w:r>
        <w:rPr>
          <w:rFonts w:hint="default" w:ascii="STKaiti" w:hAnsi="STKaiti" w:eastAsia="STKaiti" w:cs="Kaiti SC Regular"/>
          <w:sz w:val="24"/>
        </w:rPr>
        <w:t>1000万，净值稳中有胜</w:t>
      </w:r>
      <w:r>
        <w:rPr>
          <w:rFonts w:hint="eastAsia" w:ascii="STKaiti" w:hAnsi="STKaiti" w:eastAsia="STKaiti" w:cs="Kaiti SC Regular"/>
          <w:sz w:val="24"/>
        </w:rPr>
        <w:t>。</w:t>
      </w:r>
    </w:p>
    <w:p>
      <w:pPr>
        <w:ind w:firstLine="420" w:left="420"/>
        <w:jc w:val="left"/>
        <w:rPr>
          <w:rFonts w:ascii="STKaiti" w:hAnsi="STKaiti" w:eastAsia="STKaiti" w:cs="Kaiti SC Regular"/>
          <w:sz w:val="24"/>
        </w:rPr>
      </w:pPr>
      <w:r>
        <w:rPr>
          <w:rFonts w:hint="eastAsia" w:ascii="STKaiti" w:hAnsi="STKaiti" w:eastAsia="STKaiti" w:cs="Kaiti SC Regular"/>
          <w:sz w:val="24"/>
        </w:rPr>
        <w:t>尊享二号</w:t>
      </w:r>
      <w:r>
        <w:rPr>
          <w:rFonts w:hint="default" w:ascii="STKaiti" w:hAnsi="STKaiti" w:eastAsia="STKaiti" w:cs="Kaiti SC Regular"/>
          <w:sz w:val="24"/>
        </w:rPr>
        <w:t>2022年净值走势较平与尊享一号原因类似，但2023后改为纯股指对冲，没有融券仓位。</w:t>
      </w:r>
    </w:p>
    <w:p>
      <w:pPr>
        <w:jc w:val="left"/>
        <w:rPr>
          <w:rFonts w:ascii="STKaiti" w:hAnsi="STKaiti" w:eastAsia="STKaiti" w:cs="Kaiti SC Regular"/>
          <w:sz w:val="24"/>
        </w:rPr>
      </w:pPr>
    </w:p>
    <w:p>
      <w:pPr>
        <w:jc w:val="left"/>
        <w:rPr>
          <w:b w:val="1"/>
          <w:rFonts w:ascii="STKaiti" w:hAnsi="STKaiti" w:eastAsia="STKaiti" w:cs="Kaiti SC Regular"/>
        </w:rPr>
      </w:pPr>
      <w:r>
        <w:rPr>
          <w:b w:val="1"/>
          <w:rFonts w:hint="eastAsia" w:ascii="STKaiti" w:hAnsi="STKaiti" w:eastAsia="STKaiti" w:cs="Kaiti SC Regular"/>
          <w:sz w:val="24"/>
        </w:rPr>
        <w:t>结论</w:t>
      </w:r>
    </w:p>
    <w:p>
      <w:pPr>
        <w:ind w:firstLine="420"/>
        <w:jc w:val="left"/>
        <w:rPr>
          <w:color w:val="000000"/>
          <w:rFonts w:ascii="STKaiti" w:hAnsi="STKaiti" w:eastAsia="STKaiti" w:cs="Kaiti SC Regular"/>
          <w:sz w:val="24"/>
          <w:szCs w:val="32"/>
        </w:rPr>
      </w:pPr>
      <w:r>
        <w:rPr>
          <w:color w:val="000000"/>
          <w:rFonts w:hint="eastAsia" w:ascii="STKaiti" w:hAnsi="STKaiti" w:eastAsia="STKaiti" w:cs="Kaiti SC Regular"/>
          <w:sz w:val="24"/>
          <w:szCs w:val="32"/>
        </w:rPr>
        <w:t>公司成立</w:t>
      </w:r>
      <w:r>
        <w:rPr>
          <w:color w:val="000000"/>
          <w:rFonts w:hint="default" w:ascii="STKaiti" w:hAnsi="STKaiti" w:eastAsia="STKaiti" w:cs="Kaiti SC Regular"/>
          <w:sz w:val="24"/>
          <w:szCs w:val="32"/>
        </w:rPr>
        <w:t>8</w:t>
      </w:r>
      <w:r>
        <w:rPr>
          <w:color w:val="000000"/>
          <w:rFonts w:hint="eastAsia" w:ascii="STKaiti" w:hAnsi="STKaiti" w:eastAsia="STKaiti" w:cs="Kaiti SC Regular"/>
          <w:sz w:val="24"/>
          <w:szCs w:val="32"/>
        </w:rPr>
        <w:t>年，可追溯业绩</w:t>
      </w:r>
      <w:r>
        <w:rPr>
          <w:color w:val="000000"/>
          <w:rFonts w:hint="default" w:ascii="STKaiti" w:hAnsi="STKaiti" w:eastAsia="STKaiti" w:cs="Kaiti SC Regular"/>
          <w:sz w:val="24"/>
          <w:szCs w:val="32"/>
        </w:rPr>
        <w:t>3</w:t>
      </w:r>
      <w:r>
        <w:rPr>
          <w:color w:val="000000"/>
          <w:rFonts w:hint="eastAsia" w:ascii="STKaiti" w:hAnsi="STKaiti" w:eastAsia="STKaiti" w:cs="Kaiti SC Regular"/>
          <w:sz w:val="24"/>
          <w:szCs w:val="32"/>
        </w:rPr>
        <w:t>年，管理规模</w:t>
      </w:r>
      <w:r>
        <w:rPr>
          <w:color w:val="000000"/>
          <w:rFonts w:hint="default" w:ascii="STKaiti" w:hAnsi="STKaiti" w:eastAsia="STKaiti" w:cs="Kaiti SC Regular"/>
          <w:sz w:val="24"/>
          <w:szCs w:val="32"/>
        </w:rPr>
        <w:t>1</w:t>
      </w:r>
      <w:r>
        <w:rPr>
          <w:color w:val="000000"/>
          <w:rFonts w:hint="eastAsia" w:ascii="STKaiti" w:hAnsi="STKaiti" w:eastAsia="STKaiti" w:cs="Kaiti SC Regular"/>
          <w:sz w:val="24"/>
          <w:szCs w:val="32"/>
        </w:rPr>
        <w:t>亿，目前策略线涵盖股票市场中性，指数增强和可转债套利，对外主推以股票市场中性为主的中性复合策略。团队背景方面，可参考信息不多，人员规模和管理规模较匹配。产品方面，中性对冲端在</w:t>
      </w:r>
      <w:r>
        <w:rPr>
          <w:color w:val="000000"/>
          <w:rFonts w:hint="default" w:ascii="STKaiti" w:hAnsi="STKaiti" w:eastAsia="STKaiti" w:cs="Kaiti SC Regular"/>
          <w:sz w:val="24"/>
          <w:szCs w:val="32"/>
        </w:rPr>
        <w:t xml:space="preserve">2023年初由融券对冲改为了以股指对冲为主，近一年绝对收益良好，全市场同策略前1/4 分位，但在最大回撤控制上低于市场平均水平，还有改进的空间。</w:t>
      </w:r>
    </w:p>
    <w:p>
      <w:pPr>
        <w:ind w:firstLine="420"/>
        <w:jc w:val="left"/>
        <w:rPr>
          <w:color w:val="000000"/>
          <w:rFonts w:ascii="STKaiti" w:hAnsi="STKaiti" w:eastAsia="STKaiti" w:cs="Kaiti SC Regular"/>
          <w:sz w:val="24"/>
          <w:szCs w:val="32"/>
        </w:rPr>
      </w:pPr>
      <w:r>
        <w:rPr>
          <w:color w:val="000000"/>
          <w:rFonts w:hint="eastAsia" w:ascii="STKaiti" w:hAnsi="STKaiti" w:eastAsia="STKaiti" w:cs="Kaiti SC Regular"/>
          <w:sz w:val="24"/>
          <w:szCs w:val="32"/>
        </w:rPr>
        <w:t>综上，建议维持B评级。</w:t>
      </w:r>
    </w:p>
    <w:sectPr>
      <w:cols w:space="720"/>
      <w:docGrid w:linePitch="312" w:type="lines"/>
      <w:pgMar w:top="1440" w:right="1800" w:bottom="1440" w:left="1800" w:header="851" w:footer="992" w:gutter="0"/>
      <w:pgSz w:h="16838" w:w="11906"/>
    </w:sectPr>
  </w:body>
</w:document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lvl w:ilvl="0">
      <w:numFmt w:val="bullet"/>
      <w:suff w:val="tab"/>
      <w:lvlText w:val="-"/>
      <w:lvlJc w:val="left"/>
      <w:pPr>
        <w:ind w:hanging="360" w:left="846"/>
      </w:pPr>
      <w:rPr>
        <w:rFonts w:hint="default" w:ascii="Calibri" w:hAnsi="Calibri" w:eastAsia="宋体" w:cs="Calibri"/>
      </w:rPr>
    </w:lvl>
    <w:lvl w:ilvl="1">
      <w:start w:val="1"/>
      <w:numFmt w:val="bullet"/>
      <w:suff w:val="tab"/>
      <w:lvlText w:val=""/>
      <w:lvlJc w:val="left"/>
      <w:pPr>
        <w:ind w:hanging="420" w:left="1326"/>
      </w:pPr>
      <w:rPr>
        <w:rFonts w:hint="default" w:ascii="Wingdings" w:hAnsi="Wingdings"/>
      </w:rPr>
    </w:lvl>
    <w:lvl w:ilvl="2">
      <w:start w:val="1"/>
      <w:numFmt w:val="bullet"/>
      <w:suff w:val="tab"/>
      <w:lvlText w:val=""/>
      <w:lvlJc w:val="left"/>
      <w:pPr>
        <w:ind w:hanging="420" w:left="1746"/>
      </w:pPr>
      <w:rPr>
        <w:rFonts w:hint="default" w:ascii="Wingdings" w:hAnsi="Wingdings"/>
      </w:rPr>
    </w:lvl>
    <w:lvl w:ilvl="3">
      <w:start w:val="1"/>
      <w:numFmt w:val="bullet"/>
      <w:suff w:val="tab"/>
      <w:lvlText w:val=""/>
      <w:lvlJc w:val="left"/>
      <w:pPr>
        <w:ind w:hanging="420" w:left="2166"/>
      </w:pPr>
      <w:rPr>
        <w:rFonts w:hint="default" w:ascii="Wingdings" w:hAnsi="Wingdings"/>
      </w:rPr>
    </w:lvl>
    <w:lvl w:ilvl="4">
      <w:start w:val="1"/>
      <w:numFmt w:val="bullet"/>
      <w:suff w:val="tab"/>
      <w:lvlText w:val=""/>
      <w:lvlJc w:val="left"/>
      <w:pPr>
        <w:ind w:hanging="420" w:left="2586"/>
      </w:pPr>
      <w:rPr>
        <w:rFonts w:hint="default" w:ascii="Wingdings" w:hAnsi="Wingdings"/>
      </w:rPr>
    </w:lvl>
    <w:lvl w:ilvl="5">
      <w:start w:val="1"/>
      <w:numFmt w:val="bullet"/>
      <w:suff w:val="tab"/>
      <w:lvlText w:val=""/>
      <w:lvlJc w:val="left"/>
      <w:pPr>
        <w:ind w:hanging="420" w:left="3006"/>
      </w:pPr>
      <w:rPr>
        <w:rFonts w:hint="default" w:ascii="Wingdings" w:hAnsi="Wingdings"/>
      </w:rPr>
    </w:lvl>
    <w:lvl w:ilvl="6">
      <w:start w:val="1"/>
      <w:numFmt w:val="bullet"/>
      <w:suff w:val="tab"/>
      <w:lvlText w:val=""/>
      <w:lvlJc w:val="left"/>
      <w:pPr>
        <w:ind w:hanging="420" w:left="3426"/>
      </w:pPr>
      <w:rPr>
        <w:rFonts w:hint="default" w:ascii="Wingdings" w:hAnsi="Wingdings"/>
      </w:rPr>
    </w:lvl>
    <w:lvl w:ilvl="7">
      <w:start w:val="1"/>
      <w:numFmt w:val="bullet"/>
      <w:suff w:val="tab"/>
      <w:lvlText w:val=""/>
      <w:lvlJc w:val="left"/>
      <w:pPr>
        <w:ind w:hanging="420" w:left="3846"/>
      </w:pPr>
      <w:rPr>
        <w:rFonts w:hint="default" w:ascii="Wingdings" w:hAnsi="Wingdings"/>
      </w:rPr>
    </w:lvl>
    <w:lvl w:ilvl="8">
      <w:start w:val="1"/>
      <w:numFmt w:val="bullet"/>
      <w:suff w:val="tab"/>
      <w:lvlText w:val=""/>
      <w:lvlJc w:val="left"/>
      <w:pPr>
        <w:ind w:hanging="420" w:left="4266"/>
      </w:pPr>
      <w:rPr>
        <w:rFonts w:hint="default" w:ascii="Wingdings" w:hAnsi="Wingdings"/>
      </w:rPr>
    </w:lvl>
  </w:abstractNum>
  <w:abstractNum w:abstractNumId="2" w15:restartNumberingAfterBreak="0">
    <w:lvl w:ilvl="0">
      <w:start w:val="1"/>
      <w:numFmt w:val="bullet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</w:abstractNum>
  <w:abstractNum w:abstractNumId="3" w15:restartNumberingAfterBreak="0">
    <w:lvl w:ilvl="0">
      <w:numFmt w:val="bullet"/>
      <w:suff w:val="tab"/>
      <w:lvlText w:val="-"/>
      <w:lvlJc w:val="left"/>
      <w:pPr>
        <w:ind w:hanging="360" w:left="846"/>
      </w:pPr>
      <w:rPr>
        <w:rFonts w:hint="default" w:ascii="Calibri" w:hAnsi="Calibri" w:eastAsia="宋体" w:cs="Calibri"/>
      </w:rPr>
    </w:lvl>
    <w:lvl w:ilvl="1">
      <w:start w:val="1"/>
      <w:numFmt w:val="bullet"/>
      <w:suff w:val="tab"/>
      <w:lvlText w:val=""/>
      <w:lvlJc w:val="left"/>
      <w:pPr>
        <w:ind w:hanging="420" w:left="1326"/>
      </w:pPr>
      <w:rPr>
        <w:rFonts w:hint="default" w:ascii="Wingdings" w:hAnsi="Wingdings"/>
      </w:rPr>
    </w:lvl>
    <w:lvl w:ilvl="2">
      <w:start w:val="1"/>
      <w:numFmt w:val="bullet"/>
      <w:suff w:val="tab"/>
      <w:lvlText w:val=""/>
      <w:lvlJc w:val="left"/>
      <w:pPr>
        <w:ind w:hanging="420" w:left="1746"/>
      </w:pPr>
      <w:rPr>
        <w:rFonts w:hint="default" w:ascii="Wingdings" w:hAnsi="Wingdings"/>
      </w:rPr>
    </w:lvl>
    <w:lvl w:ilvl="3">
      <w:start w:val="1"/>
      <w:numFmt w:val="bullet"/>
      <w:suff w:val="tab"/>
      <w:lvlText w:val=""/>
      <w:lvlJc w:val="left"/>
      <w:pPr>
        <w:ind w:hanging="420" w:left="2166"/>
      </w:pPr>
      <w:rPr>
        <w:rFonts w:hint="default" w:ascii="Wingdings" w:hAnsi="Wingdings"/>
      </w:rPr>
    </w:lvl>
    <w:lvl w:ilvl="4">
      <w:start w:val="1"/>
      <w:numFmt w:val="bullet"/>
      <w:suff w:val="tab"/>
      <w:lvlText w:val=""/>
      <w:lvlJc w:val="left"/>
      <w:pPr>
        <w:ind w:hanging="420" w:left="2586"/>
      </w:pPr>
      <w:rPr>
        <w:rFonts w:hint="default" w:ascii="Wingdings" w:hAnsi="Wingdings"/>
      </w:rPr>
    </w:lvl>
    <w:lvl w:ilvl="5">
      <w:start w:val="1"/>
      <w:numFmt w:val="bullet"/>
      <w:suff w:val="tab"/>
      <w:lvlText w:val=""/>
      <w:lvlJc w:val="left"/>
      <w:pPr>
        <w:ind w:hanging="420" w:left="3006"/>
      </w:pPr>
      <w:rPr>
        <w:rFonts w:hint="default" w:ascii="Wingdings" w:hAnsi="Wingdings"/>
      </w:rPr>
    </w:lvl>
    <w:lvl w:ilvl="6">
      <w:start w:val="1"/>
      <w:numFmt w:val="bullet"/>
      <w:suff w:val="tab"/>
      <w:lvlText w:val=""/>
      <w:lvlJc w:val="left"/>
      <w:pPr>
        <w:ind w:hanging="420" w:left="3426"/>
      </w:pPr>
      <w:rPr>
        <w:rFonts w:hint="default" w:ascii="Wingdings" w:hAnsi="Wingdings"/>
      </w:rPr>
    </w:lvl>
    <w:lvl w:ilvl="7">
      <w:start w:val="1"/>
      <w:numFmt w:val="bullet"/>
      <w:suff w:val="tab"/>
      <w:lvlText w:val=""/>
      <w:lvlJc w:val="left"/>
      <w:pPr>
        <w:ind w:hanging="420" w:left="3846"/>
      </w:pPr>
      <w:rPr>
        <w:rFonts w:hint="default" w:ascii="Wingdings" w:hAnsi="Wingdings"/>
      </w:rPr>
    </w:lvl>
    <w:lvl w:ilvl="8">
      <w:start w:val="1"/>
      <w:numFmt w:val="bullet"/>
      <w:suff w:val="tab"/>
      <w:lvlText w:val=""/>
      <w:lvlJc w:val="left"/>
      <w:pPr>
        <w:ind w:hanging="420" w:left="4266"/>
      </w:pPr>
      <w:rPr>
        <w:rFonts w:hint="default" w:ascii="Wingdings" w:hAnsi="Wingdings"/>
      </w:rPr>
    </w:lvl>
  </w:abstractNum>
  <w:abstractNum w:abstractNumId="4" w15:restartNumberingAfterBreak="0">
    <w:lvl w:ilvl="0">
      <w:start w:val="1"/>
      <w:numFmt w:val="bullet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</w:abstractNum>
  <w:abstractNum w:abstractNumId="5" w15:restartNumberingAfterBreak="0">
    <w:lvl w:ilvl="0">
      <w:start w:val="1"/>
      <w:numFmt w:val="bullet"/>
      <w:isLgl w:val="0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  <w:lvl w:ilvl="1">
      <w:start w:val="1"/>
      <w:numFmt w:val="bullet"/>
      <w:isLgl w:val="0"/>
      <w:suff w:val="tab"/>
      <w:lvlText w:val="n"/>
      <w:lvlJc w:val="left"/>
      <w:pPr>
        <w:ind w:hanging="420" w:left="840"/>
      </w:pPr>
      <w:rPr>
        <w:b w:val="0"/>
        <w:i w:val="0"/>
        <w:rFonts w:ascii="Wingdings" w:hAnsi="Wingdings" w:eastAsia="Wingdings" w:cs="Wingdings"/>
      </w:rPr>
    </w:lvl>
    <w:lvl w:ilvl="2">
      <w:start w:val="1"/>
      <w:numFmt w:val="bullet"/>
      <w:isLgl w:val="0"/>
      <w:suff w:val="tab"/>
      <w:lvlText w:val="u"/>
      <w:lvlJc w:val="left"/>
      <w:pPr>
        <w:ind w:hanging="420" w:left="1260"/>
      </w:pPr>
      <w:rPr>
        <w:b w:val="0"/>
        <w:i w:val="0"/>
        <w:rFonts w:ascii="Wingdings" w:hAnsi="Wingdings" w:eastAsia="Wingdings" w:cs="Wingdings"/>
      </w:rPr>
    </w:lvl>
    <w:lvl w:ilvl="3">
      <w:start w:val="1"/>
      <w:numFmt w:val="bullet"/>
      <w:isLgl w:val="0"/>
      <w:suff w:val="tab"/>
      <w:lvlText w:val="l"/>
      <w:lvlJc w:val="left"/>
      <w:pPr>
        <w:ind w:hanging="420" w:left="1680"/>
      </w:pPr>
      <w:rPr>
        <w:b w:val="0"/>
        <w:i w:val="0"/>
        <w:rFonts w:ascii="Wingdings" w:hAnsi="Wingdings" w:eastAsia="Wingdings" w:cs="Wingdings"/>
      </w:rPr>
    </w:lvl>
    <w:lvl w:ilvl="4">
      <w:start w:val="1"/>
      <w:numFmt w:val="bullet"/>
      <w:isLgl w:val="0"/>
      <w:suff w:val="tab"/>
      <w:lvlText w:val="n"/>
      <w:lvlJc w:val="left"/>
      <w:pPr>
        <w:ind w:hanging="420" w:left="2100"/>
      </w:pPr>
      <w:rPr>
        <w:b w:val="0"/>
        <w:i w:val="0"/>
        <w:rFonts w:ascii="Wingdings" w:hAnsi="Wingdings" w:eastAsia="Wingdings" w:cs="Wingdings"/>
      </w:rPr>
    </w:lvl>
    <w:lvl w:ilvl="5">
      <w:start w:val="1"/>
      <w:numFmt w:val="bullet"/>
      <w:isLgl w:val="0"/>
      <w:suff w:val="tab"/>
      <w:lvlText w:val="u"/>
      <w:lvlJc w:val="left"/>
      <w:pPr>
        <w:ind w:hanging="420" w:left="2520"/>
      </w:pPr>
      <w:rPr>
        <w:b w:val="0"/>
        <w:i w:val="0"/>
        <w:rFonts w:ascii="Wingdings" w:hAnsi="Wingdings" w:eastAsia="Wingdings" w:cs="Wingdings"/>
      </w:rPr>
    </w:lvl>
    <w:lvl w:ilvl="6">
      <w:start w:val="1"/>
      <w:numFmt w:val="bullet"/>
      <w:isLgl w:val="0"/>
      <w:suff w:val="tab"/>
      <w:lvlText w:val="l"/>
      <w:lvlJc w:val="left"/>
      <w:pPr>
        <w:ind w:hanging="420" w:left="2940"/>
      </w:pPr>
      <w:rPr>
        <w:b w:val="0"/>
        <w:i w:val="0"/>
        <w:rFonts w:ascii="Wingdings" w:hAnsi="Wingdings" w:eastAsia="Wingdings" w:cs="Wingdings"/>
      </w:rPr>
    </w:lvl>
    <w:lvl w:ilvl="7">
      <w:start w:val="1"/>
      <w:numFmt w:val="bullet"/>
      <w:isLgl w:val="0"/>
      <w:suff w:val="tab"/>
      <w:lvlText w:val="n"/>
      <w:lvlJc w:val="left"/>
      <w:pPr>
        <w:ind w:hanging="420" w:left="3360"/>
      </w:pPr>
      <w:rPr>
        <w:b w:val="0"/>
        <w:i w:val="0"/>
        <w:rFonts w:ascii="Wingdings" w:hAnsi="Wingdings" w:eastAsia="Wingdings" w:cs="Wingdings"/>
      </w:rPr>
    </w:lvl>
    <w:lvl w:ilvl="8">
      <w:start w:val="1"/>
      <w:numFmt w:val="bullet"/>
      <w:isLgl w:val="0"/>
      <w:suff w:val="tab"/>
      <w:lvlText w:val="u"/>
      <w:lvlJc w:val="left"/>
      <w:pPr>
        <w:ind w:hanging="420" w:left="3780"/>
      </w:pPr>
      <w:rPr>
        <w:b w:val="0"/>
        <w:i w:val="0"/>
        <w:rFonts w:ascii="Wingdings" w:hAnsi="Wingdings" w:eastAsia="Wingdings" w:cs="Wingdings"/>
      </w:rPr>
    </w:lvl>
  </w:abstractNum>
  <w:abstractNum w:abstractNumId="5" w15:restartNumberingAfterBreak="0">
    <w:lvl w:ilvl="0">
      <w:start w:val="1"/>
      <w:numFmt w:val="bullet"/>
      <w:suff w:val="tab"/>
      <w:lvlText w:val=""/>
      <w:lvlJc w:val="left"/>
      <w:pPr>
        <w:ind w:hanging="420" w:left="420"/>
      </w:pPr>
      <w:rPr>
        <w:rFonts w:hint="default" w:ascii="Wingdings" w:hAnsi="Wingdings"/>
      </w:rPr>
    </w:lvl>
  </w:abstractNum>
  <w:abstractNum w:abstractNumId="334" w15:restartNumberingAfterBreak="0">
    <w:lvl w:ilvl="0">
      <w:start w:val="1"/>
      <w:numFmt w:val="decimal"/>
      <w:isLgl w:val="0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0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0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0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0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0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0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0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0"/>
      <w:suff w:val="tab"/>
      <w:lvlText w:val="%9."/>
      <w:lvlJc w:val="right"/>
      <w:pPr>
        <w:ind w:hanging="420" w:left="3780"/>
      </w:pPr>
    </w:lvl>
  </w:abstractNum>
  <w:abstractNum w:abstractNumId="342" w15:restartNumberingAfterBreak="0">
    <w:lvl w:ilvl="0">
      <w:start w:val="1"/>
      <w:numFmt w:val="decimal"/>
      <w:pStyle w:val="6"/>
      <w:isLgl w:val="0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0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0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0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0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0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0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0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0"/>
      <w:suff w:val="tab"/>
      <w:lvlText w:val="%9."/>
      <w:lvlJc w:val="right"/>
      <w:pPr>
        <w:ind w:hanging="420" w:left="37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335">
    <w:abstractNumId w:val="334"/>
  </w:num>
  <w:num w:numId="343">
    <w:abstractNumId w:val="342"/>
  </w:num>
  <w:num w:numId="1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efaultTabStop w:val="420"/>
  <w:drawingGridVerticalSpacing w:val="156"/>
  <w:noPunctuationKerning w:val="1"/>
  <w:characterSpacingControl w:val="compressPunctuation"/>
  <w:compat>
    <w:spaceForUL w:val="1"/>
    <w:balanceSingleByteDoubleByteWidth w:val="1"/>
    <w:doNotLeaveBackslashAlone w:val="1"/>
    <w:ulTrailSpace w:val="1"/>
    <w:doNotExpandShiftReturn w:val="1"/>
    <w:adjustLineHeightInTable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lang w:val="en-US" w:eastAsia="zh-CN" w:bidi="ar-SA"/>
        <w:rFonts w:ascii="Times New Roman" w:hAnsi="Times New Roman" w:eastAsia="宋体" w:cs="Times New Roman"/>
      </w:rPr>
    </w:rPrDefault>
    <w:pPrDefault/>
  </w:docDefaults>
  <w:style w:type="paragraph" w:styleId="a" w:default="1">
    <w:name w:val="Normal"/>
    <w:qFormat w:val="1"/>
    <w:pPr>
      <w:jc w:val="both"/>
      <w:widowControl w:val="0"/>
    </w:pPr>
    <w:rPr>
      <w:kern w:val="2"/>
      <w:rFonts w:ascii="Calibri" w:hAnsi="Calibri"/>
      <w:sz w:val="21"/>
      <w:szCs w:val="24"/>
    </w:rPr>
  </w:style>
  <w:style w:type="character" w:styleId="a0" w:default="1">
    <w:name w:val="Default Paragraph Font"/>
    <w:uiPriority w:val="1"/>
  </w:style>
  <w:style w:type="table" w:styleId="a1" w:default="1">
    <w:name w:val="Normal Table"/>
    <w:uiPriority w:val="99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</w:style>
  <w:style w:type="character" w:styleId="a3">
    <w:name w:val="Hyperlink"/>
    <w:basedOn w:val="a0"/>
    <w:rPr>
      <w:color w:val="0000FF"/>
      <w:u w:val="single"/>
    </w:rPr>
  </w:style>
  <w:style w:type="paragraph" w:styleId="22">
    <w:name w:val="List Paragraph"/>
    <w:basedOn w:val="a"/>
    <w:uiPriority w:val="34"/>
    <w:qFormat w:val="1"/>
  </w:style>
  <w:style w:type="paragraph" w:styleId="6">
    <w:name w:val="Heading 2"/>
    <w:next w:val="a"/>
    <w:link w:val="7"/>
    <w:uiPriority w:val="9"/>
    <w:unhideWhenUsed w:val="1"/>
    <w:qFormat w:val="1"/>
    <w:pPr>
      <w:ind w:firstLineChars="0"/>
      <w:numPr>
        <w:ilvl w:val="0"/>
        <w:numId w:val="343"/>
      </w:numPr>
      <w:outlineLvl w:val="1"/>
      <w:pStyle w:val="6"/>
      <w:spacing w:after="260" w:before="260" w:line="408" w:lineRule="auto"/>
    </w:pPr>
    <w:rPr>
      <w:b w:val="1"/>
      <w:color w:val="auto"/>
      <w:dstrike w:val="0"/>
      <w:i w:val="0"/>
      <w:kern w:val="2"/>
      <w:lang w:val="en-US" w:bidi="en-US"/>
      <w:rFonts w:ascii="STKaiti" w:hAnsi="STKaiti" w:eastAsia="STKaiti" w:cs="Kaiti SC Regular"/>
      <w:spacing w:val="0"/>
      <w:strike w:val="0"/>
      <w:sz w:val="32"/>
      <w:szCs w:val="24"/>
      <w:u w:val="none"/>
      <w:vertAlign w:val="baseline"/>
      <w:w w:val="100"/>
    </w:rPr>
  </w:style>
  <w:style w:type="character" w:styleId="7">
    <w:name w:val="Heading 2 Char"/>
    <w:link w:val="6"/>
    <w:uiPriority w:val="9"/>
    <w:rPr>
      <w:b w:val="1"/>
      <w:color w:val="auto"/>
      <w:dstrike w:val="0"/>
      <w:i w:val="0"/>
      <w:kern w:val="2"/>
      <w:lang w:val="en-US" w:bidi="en-US"/>
      <w:rFonts w:ascii="STKaiti" w:hAnsi="STKaiti" w:eastAsia="STKaiti" w:cs="Kaiti SC Regular"/>
      <w:spacing w:val="0"/>
      <w:strike w:val="0"/>
      <w:sz w:val="32"/>
      <w:szCs w:val="24"/>
      <w:u w:val="none"/>
      <w:vertAlign w:val="baseline"/>
      <w:w w:val="100"/>
    </w:rPr>
  </w:style>
  <w:style w:type="character" w:styleId="2">
    <w:name w:val="original Paragraph Font"/>
    <w:uiPriority w:val="1"/>
    <w:unhideWhenUsed w:val="1"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notes" TargetMode="Internal" Target="footnotes.xml"/><Relationship Id="rId3" Type="http://schemas.openxmlformats.org/officeDocument/2006/relationships/styles" TargetMode="Internal" Target="styles.xml"/><Relationship Id="rId5" Type="http://schemas.openxmlformats.org/officeDocument/2006/relationships/numbering" TargetMode="Internal" Target="numbering.xml"/><Relationship Id="rId1" Type="http://schemas.openxmlformats.org/officeDocument/2006/relationships/theme" TargetMode="Internal" Target="theme/theme1.xml"/><Relationship Id="rId2" Type="http://schemas.openxmlformats.org/officeDocument/2006/relationships/settings" TargetMode="Internal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