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7FAEC6">
      <w:pPr>
        <w:widowControl w:val="0"/>
        <w:wordWrap w:val="0"/>
        <w:spacing w:after="0" w:line="360" w:lineRule="auto"/>
        <w:ind w:left="0" w:leftChars="0" w:firstLine="0" w:firstLineChars="0"/>
        <w:jc w:val="center"/>
        <w:rPr>
          <w:rFonts w:hint="default" w:ascii="Times New Roman" w:hAnsi="Times New Roman" w:eastAsia="黑体" w:cs="Times New Roman"/>
          <w:b/>
          <w:color w:val="auto"/>
          <w:kern w:val="2"/>
          <w:sz w:val="32"/>
          <w:szCs w:val="32"/>
          <w:lang w:eastAsia="zh-CN"/>
        </w:rPr>
      </w:pPr>
      <w:r>
        <w:rPr>
          <w:rFonts w:hint="default" w:ascii="Times New Roman" w:hAnsi="Times New Roman" w:eastAsia="黑体" w:cs="Times New Roman"/>
          <w:b/>
          <w:color w:val="auto"/>
          <w:kern w:val="2"/>
          <w:sz w:val="32"/>
          <w:szCs w:val="32"/>
          <w:lang w:eastAsia="zh-CN"/>
        </w:rPr>
        <w:t>实验4：对极几何与基础矩阵估计</w:t>
      </w:r>
    </w:p>
    <w:p w14:paraId="29501D26">
      <w:pPr>
        <w:pStyle w:val="3"/>
        <w:widowControl w:val="0"/>
        <w:numPr>
          <w:ilvl w:val="0"/>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44"/>
          <w:sz w:val="30"/>
          <w:szCs w:val="24"/>
          <w:lang w:eastAsia="zh-CN"/>
        </w:rPr>
      </w:pPr>
      <w:r>
        <w:rPr>
          <w:rFonts w:hint="default" w:ascii="Times New Roman" w:hAnsi="Times New Roman" w:eastAsia="黑体" w:cs="Times New Roman"/>
          <w:bCs w:val="0"/>
          <w:color w:val="auto"/>
          <w:kern w:val="44"/>
          <w:sz w:val="30"/>
          <w:szCs w:val="24"/>
          <w:lang w:eastAsia="zh-CN"/>
        </w:rPr>
        <w:t>实验目的</w:t>
      </w:r>
      <w:bookmarkStart w:id="0" w:name="_GoBack"/>
      <w:bookmarkEnd w:id="0"/>
    </w:p>
    <w:p w14:paraId="716C2302">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本实验旨在通过实现对极几何中的基础矩阵估计算法，深入理解计算机视觉中的多视图几何理论。具体目标包括：</w:t>
      </w:r>
    </w:p>
    <w:p w14:paraId="1180167E">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理解对极几何的基本概念，包括极点、极线和基础矩阵的定义与性质</w:t>
      </w:r>
    </w:p>
    <w:p w14:paraId="0A4F3808">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掌握8点算法估计基础矩阵的原理和实现方法</w:t>
      </w:r>
    </w:p>
    <w:p w14:paraId="3F63B252">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理解RANSAC鲁棒估计框架在处理特征匹配离群点中的作用</w:t>
      </w:r>
    </w:p>
    <w:p w14:paraId="2DC924B5">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对比人工标注匹配点和自动特征检测匹配在基础矩阵估计中的性能差异</w:t>
      </w:r>
    </w:p>
    <w:p w14:paraId="700DCCEC">
      <w:pPr>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br w:type="page"/>
      </w:r>
    </w:p>
    <w:p w14:paraId="349C99D1">
      <w:pPr>
        <w:pStyle w:val="3"/>
        <w:widowControl w:val="0"/>
        <w:numPr>
          <w:ilvl w:val="0"/>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44"/>
          <w:sz w:val="30"/>
          <w:szCs w:val="24"/>
          <w:lang w:eastAsia="zh-CN"/>
        </w:rPr>
      </w:pPr>
      <w:r>
        <w:rPr>
          <w:rFonts w:hint="default" w:ascii="Times New Roman" w:hAnsi="Times New Roman" w:eastAsia="黑体" w:cs="Times New Roman"/>
          <w:bCs w:val="0"/>
          <w:color w:val="auto"/>
          <w:kern w:val="44"/>
          <w:sz w:val="30"/>
          <w:szCs w:val="24"/>
          <w:lang w:eastAsia="zh-CN"/>
        </w:rPr>
        <w:t>实验原理</w:t>
      </w:r>
    </w:p>
    <w:p w14:paraId="1E6E80BB">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对极几何</w:t>
      </w:r>
    </w:p>
    <w:p w14:paraId="3C4FD026">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对极几何描述了同一场景在不同视点下成像之间的几何关系。给定两个摄像机，其光心连线称为基线。基线与左右图像平面的交点分别称为左极点和右极点。对于左图中的一点，其在三维空间中对应的射线投影到右图上形成一条直线，称为极线。</w:t>
      </w:r>
    </w:p>
    <w:p w14:paraId="4FB839B2">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基础矩阵</w:t>
      </w:r>
    </w:p>
    <w:p w14:paraId="48173BF9">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基础矩阵F是一个3×3的秩为2的矩阵，它编码了两幅图像之间的对极几何关系。对于左图中的点x和右图中对应点x'，满足对极约束。基础矩阵的零空间对应极点。</w:t>
      </w:r>
    </w:p>
    <w:p w14:paraId="3DC6CC2D">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极点与极线</w:t>
      </w:r>
    </w:p>
    <w:p w14:paraId="08729F1D">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极点可通过对基础矩阵进行奇异值分解获得。左极点对应F的右零空间，右极点对应F^T的右零空间。极线方程可由基础矩阵和对应点计算得出。</w:t>
      </w:r>
    </w:p>
    <w:p w14:paraId="3B880C20">
      <w:pPr>
        <w:rPr>
          <w:color w:val="auto"/>
        </w:rPr>
      </w:pPr>
      <w:r>
        <w:rPr>
          <w:color w:val="auto"/>
        </w:rPr>
        <w:br w:type="page"/>
      </w:r>
    </w:p>
    <w:p w14:paraId="44A0E8CE">
      <w:pPr>
        <w:pStyle w:val="3"/>
        <w:widowControl w:val="0"/>
        <w:numPr>
          <w:ilvl w:val="0"/>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44"/>
          <w:sz w:val="30"/>
          <w:szCs w:val="24"/>
          <w:lang w:eastAsia="zh-CN"/>
        </w:rPr>
      </w:pPr>
      <w:r>
        <w:rPr>
          <w:rFonts w:hint="default" w:ascii="Times New Roman" w:hAnsi="Times New Roman" w:eastAsia="黑体" w:cs="Times New Roman"/>
          <w:bCs w:val="0"/>
          <w:color w:val="auto"/>
          <w:kern w:val="44"/>
          <w:sz w:val="30"/>
          <w:szCs w:val="24"/>
          <w:lang w:eastAsia="zh-CN"/>
        </w:rPr>
        <w:t>实验方法</w:t>
      </w:r>
    </w:p>
    <w:p w14:paraId="7AD2CDFB">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Hartley归一化</w:t>
      </w:r>
    </w:p>
    <w:p w14:paraId="25ED982A">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为提高数值稳定性，在进行基础矩阵估计前对点坐标进行归一化处理。归一化步骤包括：</w:t>
      </w:r>
    </w:p>
    <w:p w14:paraId="32BD23CD">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计算所有点的质心，将点坐标平移至原点，使其均值为零</w:t>
      </w:r>
    </w:p>
    <w:p w14:paraId="0F8B9B92">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计算点到原点的平均距离，进行缩放使平均距离为√2</w:t>
      </w:r>
    </w:p>
    <w:p w14:paraId="78D03B07">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构造归一化变换矩阵T，用于后续反归一化</w:t>
      </w:r>
    </w:p>
    <w:p w14:paraId="7A687C1D">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8点算法</w:t>
      </w:r>
    </w:p>
    <w:p w14:paraId="0E47D862">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8点算法用于从至少8对匹配点估计基础矩阵。算法流程为：</w:t>
      </w:r>
    </w:p>
    <w:p w14:paraId="3725ACBC">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对左右图像的匹配点分别进行Hartley归一化</w:t>
      </w:r>
    </w:p>
    <w:p w14:paraId="5FDF452F">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对每对匹配点(x, y, 1)和(x', y', 1)，构造约束方程[x'x, x'y, x', y'x, y'y, y', x, y, 1]作为矩阵A的一行</w:t>
      </w:r>
    </w:p>
    <w:p w14:paraId="415CC780">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对A进行奇异值分解，最小奇异值对应的右奇异向量即为F的初始解（reshape为3×3）</w:t>
      </w:r>
    </w:p>
    <w:p w14:paraId="3BF9E05F">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对F进行奇异值分解并将最小奇异值置零，保证秩为2约束</w:t>
      </w:r>
    </w:p>
    <w:p w14:paraId="2AC30405">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使用归一化变换矩阵反归一化得到最终基础矩阵</w:t>
      </w:r>
    </w:p>
    <w:p w14:paraId="5E0B4E8F">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RANSAC框架</w:t>
      </w:r>
    </w:p>
    <w:p w14:paraId="1053598B">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RANSAC用于从含有离群点的匹配中鲁棒估计基础矩阵。算法设计思路为：</w:t>
      </w:r>
    </w:p>
    <w:p w14:paraId="46E1CD0C">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随机选择8对匹配点作为最小集</w:t>
      </w:r>
    </w:p>
    <w:p w14:paraId="051D3C32">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使用8点算法估计基础矩阵候选解</w:t>
      </w:r>
    </w:p>
    <w:p w14:paraId="0A9D6A38">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计算所有匹配点的对称极线距离：d = (d_left + d_right) / 2，其中d_left为右图点到左极线距离，d_right为左图点到右极线距离</w:t>
      </w:r>
    </w:p>
    <w:p w14:paraId="773FFB46">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统计距离小于阈值的内点数量</w:t>
      </w:r>
    </w:p>
    <w:p w14:paraId="1514188B">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保留内点数最多的模型，使用自适应策略动态调整迭代次数</w:t>
      </w:r>
    </w:p>
    <w:p w14:paraId="6589F871">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极点计算</w:t>
      </w:r>
    </w:p>
    <w:p w14:paraId="4409819E">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极点通过求解基础矩阵的零空间获得。对F进行奇异值分解，右极点为V的最后一列（对应最小奇异值），左极点通过对F^T进行相同操作获得。极点坐标需进行齐次坐标归一化。</w:t>
      </w:r>
    </w:p>
    <w:p w14:paraId="413997B2">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SIFT特征匹配</w:t>
      </w:r>
    </w:p>
    <w:p w14:paraId="44320F11">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任务2采用SIFT进行自动特征检测与匹配。SIFT算法提取图像的尺度不变特征点，使用FLANN快速最近邻匹配器进行特征描述子匹配，并采用Lowe比率测试（阈值0.75）过滤不可靠匹配，保留匹配质量较高的点对。</w:t>
      </w:r>
    </w:p>
    <w:p w14:paraId="16B69D40">
      <w:pPr>
        <w:rPr>
          <w:color w:val="auto"/>
        </w:rPr>
      </w:pPr>
      <w:r>
        <w:rPr>
          <w:color w:val="auto"/>
        </w:rPr>
        <w:br w:type="page"/>
      </w:r>
    </w:p>
    <w:p w14:paraId="7D2C5535">
      <w:pPr>
        <w:pStyle w:val="3"/>
        <w:widowControl w:val="0"/>
        <w:numPr>
          <w:ilvl w:val="0"/>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44"/>
          <w:sz w:val="30"/>
          <w:szCs w:val="24"/>
          <w:lang w:eastAsia="zh-CN"/>
        </w:rPr>
      </w:pPr>
      <w:r>
        <w:rPr>
          <w:rFonts w:hint="default" w:ascii="Times New Roman" w:hAnsi="Times New Roman" w:eastAsia="黑体" w:cs="Times New Roman"/>
          <w:bCs w:val="0"/>
          <w:color w:val="auto"/>
          <w:kern w:val="44"/>
          <w:sz w:val="30"/>
          <w:szCs w:val="24"/>
          <w:lang w:eastAsia="zh-CN"/>
        </w:rPr>
        <w:t>实验结果</w:t>
      </w:r>
    </w:p>
    <w:p w14:paraId="659F7C7F">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任务1：给定匹配点的基础矩阵估计</w:t>
      </w:r>
    </w:p>
    <w:p w14:paraId="42030360">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计算得到的极点坐标为：</w:t>
      </w:r>
    </w:p>
    <w:p w14:paraId="48123253">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Left Epipole: (-10494.539401, -86.673242)</w:t>
      </w:r>
    </w:p>
    <w:p w14:paraId="6AC4B32E">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Right Epipole: (2575.522818, 18.366759)</w:t>
      </w:r>
    </w:p>
    <w:p w14:paraId="6DD90886">
      <w:pPr>
        <w:rPr>
          <w:color w:val="auto"/>
        </w:rPr>
      </w:pPr>
    </w:p>
    <w:p w14:paraId="6CD706A3">
      <w:pPr>
        <w:rPr>
          <w:color w:val="auto"/>
        </w:rPr>
      </w:pPr>
      <w:r>
        <w:rPr>
          <w:color w:val="auto"/>
        </w:rPr>
        <w:t>人工标注的168对匹配点可视化如下：</w:t>
      </w:r>
    </w:p>
    <w:p w14:paraId="68605CE6">
      <w:pPr>
        <w:jc w:val="center"/>
        <w:rPr>
          <w:color w:val="auto"/>
        </w:rPr>
      </w:pPr>
      <w:r>
        <w:rPr>
          <w:color w:val="auto"/>
        </w:rPr>
        <w:drawing>
          <wp:inline distT="0" distB="0" distL="114300" distR="114300">
            <wp:extent cx="4196715" cy="154559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196715" cy="1545590"/>
                    </a:xfrm>
                    <a:prstGeom prst="rect">
                      <a:avLst/>
                    </a:prstGeom>
                  </pic:spPr>
                </pic:pic>
              </a:graphicData>
            </a:graphic>
          </wp:inline>
        </w:drawing>
      </w:r>
    </w:p>
    <w:p w14:paraId="351DD2BE">
      <w:pPr>
        <w:jc w:val="center"/>
        <w:rPr>
          <w:color w:val="auto"/>
        </w:rPr>
      </w:pPr>
      <w:r>
        <w:rPr>
          <w:color w:val="auto"/>
          <w:sz w:val="20"/>
        </w:rPr>
        <w:t>图1: 任务1人工标注的168对匹配点</w:t>
      </w:r>
    </w:p>
    <w:p w14:paraId="0E37C191">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左图像的极线可视化：</w:t>
      </w:r>
    </w:p>
    <w:p w14:paraId="4739417C">
      <w:pPr>
        <w:jc w:val="center"/>
        <w:rPr>
          <w:color w:val="auto"/>
        </w:rPr>
      </w:pPr>
      <w:r>
        <w:rPr>
          <w:color w:val="auto"/>
        </w:rPr>
        <w:drawing>
          <wp:inline distT="0" distB="0" distL="114300" distR="114300">
            <wp:extent cx="4203700" cy="3095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203700" cy="3095625"/>
                    </a:xfrm>
                    <a:prstGeom prst="rect">
                      <a:avLst/>
                    </a:prstGeom>
                  </pic:spPr>
                </pic:pic>
              </a:graphicData>
            </a:graphic>
          </wp:inline>
        </w:drawing>
      </w:r>
    </w:p>
    <w:p w14:paraId="7B694E7B">
      <w:pPr>
        <w:jc w:val="center"/>
        <w:rPr>
          <w:color w:val="auto"/>
        </w:rPr>
      </w:pPr>
      <w:r>
        <w:rPr>
          <w:color w:val="auto"/>
          <w:sz w:val="20"/>
        </w:rPr>
        <w:t>图2: 任务1左图极线可视化</w:t>
      </w:r>
    </w:p>
    <w:p w14:paraId="1C7564BE">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右图像的极线可视化：</w:t>
      </w:r>
    </w:p>
    <w:p w14:paraId="52D039C9">
      <w:pPr>
        <w:jc w:val="center"/>
        <w:rPr>
          <w:color w:val="auto"/>
        </w:rPr>
      </w:pPr>
      <w:r>
        <w:rPr>
          <w:color w:val="auto"/>
        </w:rPr>
        <w:drawing>
          <wp:inline distT="0" distB="0" distL="114300" distR="114300">
            <wp:extent cx="4245610" cy="3126740"/>
            <wp:effectExtent l="0" t="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245610" cy="3126740"/>
                    </a:xfrm>
                    <a:prstGeom prst="rect">
                      <a:avLst/>
                    </a:prstGeom>
                  </pic:spPr>
                </pic:pic>
              </a:graphicData>
            </a:graphic>
          </wp:inline>
        </w:drawing>
      </w:r>
    </w:p>
    <w:p w14:paraId="3110EBCA">
      <w:pPr>
        <w:jc w:val="center"/>
        <w:rPr>
          <w:color w:val="auto"/>
          <w:sz w:val="20"/>
        </w:rPr>
      </w:pPr>
      <w:r>
        <w:rPr>
          <w:color w:val="auto"/>
          <w:sz w:val="20"/>
        </w:rPr>
        <w:t>图3: 任务1右图极线可视化</w:t>
      </w:r>
    </w:p>
    <w:p w14:paraId="2738020F">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44"/>
          <w:sz w:val="30"/>
          <w:szCs w:val="24"/>
          <w:lang w:val="en-US" w:eastAsia="zh-CN"/>
        </w:rPr>
      </w:pPr>
      <w:r>
        <w:rPr>
          <w:rFonts w:hint="default" w:ascii="Times New Roman" w:hAnsi="Times New Roman" w:eastAsia="黑体" w:cs="Times New Roman"/>
          <w:bCs w:val="0"/>
          <w:color w:val="auto"/>
          <w:kern w:val="44"/>
          <w:sz w:val="30"/>
          <w:szCs w:val="24"/>
          <w:lang w:val="en-US" w:eastAsia="zh-CN"/>
        </w:rPr>
        <w:t>任务2：SIFT+RANSAC完整流程</w:t>
      </w:r>
    </w:p>
    <w:p w14:paraId="0E18FA79">
      <w:pPr>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任务2实现了从特征检测到基础矩阵估计的完整流程。首先使用SIFT算法检测特征点，然后进行特征匹配，最后使用RANSAC进行鲁棒估计。统计结果如下：</w:t>
      </w:r>
    </w:p>
    <w:tbl>
      <w:tblPr>
        <w:tblStyle w:val="49"/>
        <w:tblW w:w="0" w:type="auto"/>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autofit"/>
        <w:tblCellMar>
          <w:top w:w="0" w:type="dxa"/>
          <w:left w:w="108" w:type="dxa"/>
          <w:bottom w:w="0" w:type="dxa"/>
          <w:right w:w="108" w:type="dxa"/>
        </w:tblCellMar>
      </w:tblPr>
      <w:tblGrid>
        <w:gridCol w:w="4320"/>
        <w:gridCol w:w="4320"/>
      </w:tblGrid>
      <w:tr w14:paraId="60388DF1">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550412E4">
            <w:pPr>
              <w:spacing w:after="0" w:line="240" w:lineRule="auto"/>
              <w:rPr>
                <w:color w:val="auto"/>
              </w:rPr>
            </w:pPr>
            <w:r>
              <w:rPr>
                <w:color w:val="auto"/>
              </w:rPr>
              <w:t>指标</w:t>
            </w:r>
          </w:p>
        </w:tc>
        <w:tc>
          <w:tcPr>
            <w:tcW w:w="4320" w:type="dxa"/>
          </w:tcPr>
          <w:p w14:paraId="0D538375">
            <w:pPr>
              <w:spacing w:after="0" w:line="240" w:lineRule="auto"/>
              <w:rPr>
                <w:color w:val="auto"/>
              </w:rPr>
            </w:pPr>
            <w:r>
              <w:rPr>
                <w:color w:val="auto"/>
              </w:rPr>
              <w:t>数值</w:t>
            </w:r>
          </w:p>
        </w:tc>
      </w:tr>
      <w:tr w14:paraId="64CEEE01">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06FD174E">
            <w:pPr>
              <w:spacing w:after="0" w:line="240" w:lineRule="auto"/>
              <w:rPr>
                <w:color w:val="auto"/>
              </w:rPr>
            </w:pPr>
            <w:r>
              <w:rPr>
                <w:color w:val="auto"/>
              </w:rPr>
              <w:t>左图SIFT特征数</w:t>
            </w:r>
          </w:p>
        </w:tc>
        <w:tc>
          <w:tcPr>
            <w:tcW w:w="4320" w:type="dxa"/>
          </w:tcPr>
          <w:p w14:paraId="37E8625F">
            <w:pPr>
              <w:spacing w:after="0" w:line="240" w:lineRule="auto"/>
              <w:rPr>
                <w:color w:val="auto"/>
              </w:rPr>
            </w:pPr>
            <w:r>
              <w:rPr>
                <w:color w:val="auto"/>
              </w:rPr>
              <w:t>498</w:t>
            </w:r>
          </w:p>
        </w:tc>
      </w:tr>
      <w:tr w14:paraId="0D520011">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52B3F8F3">
            <w:pPr>
              <w:spacing w:after="0" w:line="240" w:lineRule="auto"/>
              <w:rPr>
                <w:color w:val="auto"/>
              </w:rPr>
            </w:pPr>
            <w:r>
              <w:rPr>
                <w:color w:val="auto"/>
              </w:rPr>
              <w:t>右图SIFT特征数</w:t>
            </w:r>
          </w:p>
        </w:tc>
        <w:tc>
          <w:tcPr>
            <w:tcW w:w="4320" w:type="dxa"/>
          </w:tcPr>
          <w:p w14:paraId="1A4F189A">
            <w:pPr>
              <w:spacing w:after="0" w:line="240" w:lineRule="auto"/>
              <w:rPr>
                <w:color w:val="auto"/>
              </w:rPr>
            </w:pPr>
            <w:r>
              <w:rPr>
                <w:color w:val="auto"/>
              </w:rPr>
              <w:t>465</w:t>
            </w:r>
          </w:p>
        </w:tc>
      </w:tr>
      <w:tr w14:paraId="5D90BB63">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326470B6">
            <w:pPr>
              <w:spacing w:after="0" w:line="240" w:lineRule="auto"/>
              <w:rPr>
                <w:color w:val="auto"/>
              </w:rPr>
            </w:pPr>
            <w:r>
              <w:rPr>
                <w:color w:val="auto"/>
              </w:rPr>
              <w:t>初始匹配数</w:t>
            </w:r>
          </w:p>
        </w:tc>
        <w:tc>
          <w:tcPr>
            <w:tcW w:w="4320" w:type="dxa"/>
          </w:tcPr>
          <w:p w14:paraId="37085AAF">
            <w:pPr>
              <w:spacing w:after="0" w:line="240" w:lineRule="auto"/>
              <w:rPr>
                <w:color w:val="auto"/>
              </w:rPr>
            </w:pPr>
            <w:r>
              <w:rPr>
                <w:color w:val="auto"/>
              </w:rPr>
              <w:t>133</w:t>
            </w:r>
          </w:p>
        </w:tc>
      </w:tr>
      <w:tr w14:paraId="014295BD">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62D6AA41">
            <w:pPr>
              <w:spacing w:after="0" w:line="240" w:lineRule="auto"/>
              <w:rPr>
                <w:color w:val="auto"/>
              </w:rPr>
            </w:pPr>
            <w:r>
              <w:rPr>
                <w:color w:val="auto"/>
              </w:rPr>
              <w:t>RANSAC内点数</w:t>
            </w:r>
          </w:p>
        </w:tc>
        <w:tc>
          <w:tcPr>
            <w:tcW w:w="4320" w:type="dxa"/>
          </w:tcPr>
          <w:p w14:paraId="1CA37969">
            <w:pPr>
              <w:spacing w:after="0" w:line="240" w:lineRule="auto"/>
              <w:rPr>
                <w:color w:val="auto"/>
              </w:rPr>
            </w:pPr>
            <w:r>
              <w:rPr>
                <w:color w:val="auto"/>
              </w:rPr>
              <w:t>101</w:t>
            </w:r>
          </w:p>
        </w:tc>
      </w:tr>
      <w:tr w14:paraId="15399840">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0B02B295">
            <w:pPr>
              <w:spacing w:after="0" w:line="240" w:lineRule="auto"/>
              <w:rPr>
                <w:color w:val="auto"/>
              </w:rPr>
            </w:pPr>
            <w:r>
              <w:rPr>
                <w:color w:val="auto"/>
              </w:rPr>
              <w:t>RANSAC内点率</w:t>
            </w:r>
          </w:p>
        </w:tc>
        <w:tc>
          <w:tcPr>
            <w:tcW w:w="4320" w:type="dxa"/>
          </w:tcPr>
          <w:p w14:paraId="087852CB">
            <w:pPr>
              <w:spacing w:after="0" w:line="240" w:lineRule="auto"/>
              <w:rPr>
                <w:color w:val="auto"/>
              </w:rPr>
            </w:pPr>
            <w:r>
              <w:rPr>
                <w:color w:val="auto"/>
              </w:rPr>
              <w:t>75.9%</w:t>
            </w:r>
          </w:p>
        </w:tc>
      </w:tr>
      <w:tr w14:paraId="42B14283">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506EC345">
            <w:pPr>
              <w:spacing w:after="0" w:line="240" w:lineRule="auto"/>
              <w:rPr>
                <w:color w:val="auto"/>
              </w:rPr>
            </w:pPr>
            <w:r>
              <w:rPr>
                <w:color w:val="auto"/>
              </w:rPr>
              <w:t>RANSAC迭代次数</w:t>
            </w:r>
          </w:p>
        </w:tc>
        <w:tc>
          <w:tcPr>
            <w:tcW w:w="4320" w:type="dxa"/>
          </w:tcPr>
          <w:p w14:paraId="77744C67">
            <w:pPr>
              <w:spacing w:after="0" w:line="240" w:lineRule="auto"/>
              <w:rPr>
                <w:color w:val="auto"/>
              </w:rPr>
            </w:pPr>
            <w:r>
              <w:rPr>
                <w:color w:val="auto"/>
              </w:rPr>
              <w:t>109</w:t>
            </w:r>
          </w:p>
        </w:tc>
      </w:tr>
      <w:tr w14:paraId="53B97F7B">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4320" w:type="dxa"/>
          </w:tcPr>
          <w:p w14:paraId="7C3899C4">
            <w:pPr>
              <w:spacing w:after="0" w:line="240" w:lineRule="auto"/>
              <w:rPr>
                <w:color w:val="auto"/>
              </w:rPr>
            </w:pPr>
            <w:r>
              <w:rPr>
                <w:color w:val="auto"/>
              </w:rPr>
              <w:t>平均对称距离 (px)</w:t>
            </w:r>
          </w:p>
        </w:tc>
        <w:tc>
          <w:tcPr>
            <w:tcW w:w="4320" w:type="dxa"/>
          </w:tcPr>
          <w:p w14:paraId="5DCC3C3C">
            <w:pPr>
              <w:spacing w:after="0" w:line="240" w:lineRule="auto"/>
              <w:rPr>
                <w:color w:val="auto"/>
              </w:rPr>
            </w:pPr>
            <w:r>
              <w:rPr>
                <w:color w:val="auto"/>
              </w:rPr>
              <w:t>0.3162</w:t>
            </w:r>
          </w:p>
        </w:tc>
      </w:tr>
    </w:tbl>
    <w:p w14:paraId="6373433B">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p>
    <w:p w14:paraId="4FDF66AB">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计算得到的极点坐标为：</w:t>
      </w:r>
    </w:p>
    <w:p w14:paraId="4C9D8E8D">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Left Epipole: (1377.231679, 232.406572)</w:t>
      </w:r>
    </w:p>
    <w:p w14:paraId="5760CEF3">
      <w:pPr>
        <w:widowControl w:val="0"/>
        <w:wordWrap w:val="0"/>
        <w:bidi w:val="0"/>
        <w:spacing w:after="0" w:line="360" w:lineRule="auto"/>
        <w:ind w:firstLine="480" w:firstLineChars="200"/>
        <w:jc w:val="both"/>
        <w:rPr>
          <w:color w:val="auto"/>
        </w:rPr>
      </w:pPr>
      <w:r>
        <w:rPr>
          <w:rFonts w:hint="default" w:ascii="Times New Roman" w:hAnsi="Times New Roman" w:eastAsia="宋体" w:cs="Times New Roman"/>
          <w:color w:val="auto"/>
          <w:kern w:val="2"/>
          <w:sz w:val="24"/>
          <w:szCs w:val="24"/>
          <w:lang w:val="en-US" w:eastAsia="zh-CN"/>
        </w:rPr>
        <w:t>Right Epipole: (943.915621, 142.696419)</w:t>
      </w:r>
    </w:p>
    <w:p w14:paraId="12A17DA0">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p>
    <w:p w14:paraId="38030864">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p>
    <w:p w14:paraId="5C1F0235">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SIFT特征检测结果：</w:t>
      </w:r>
    </w:p>
    <w:p w14:paraId="3AA81527">
      <w:pPr>
        <w:jc w:val="center"/>
        <w:rPr>
          <w:color w:val="auto"/>
        </w:rPr>
      </w:pPr>
      <w:r>
        <w:rPr>
          <w:color w:val="auto"/>
        </w:rPr>
        <w:drawing>
          <wp:inline distT="0" distB="0" distL="114300" distR="114300">
            <wp:extent cx="4142105" cy="1524635"/>
            <wp:effectExtent l="0" t="0" r="1079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142105" cy="1524635"/>
                    </a:xfrm>
                    <a:prstGeom prst="rect">
                      <a:avLst/>
                    </a:prstGeom>
                  </pic:spPr>
                </pic:pic>
              </a:graphicData>
            </a:graphic>
          </wp:inline>
        </w:drawing>
      </w:r>
    </w:p>
    <w:p w14:paraId="092E6573">
      <w:pPr>
        <w:jc w:val="center"/>
        <w:rPr>
          <w:color w:val="auto"/>
        </w:rPr>
      </w:pPr>
      <w:r>
        <w:rPr>
          <w:color w:val="auto"/>
          <w:sz w:val="20"/>
        </w:rPr>
        <w:t>图4: 任务2 SIFT特征检测结果</w:t>
      </w:r>
    </w:p>
    <w:p w14:paraId="24D104AA">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RANSAC内点筛选结果：</w:t>
      </w:r>
    </w:p>
    <w:p w14:paraId="43DFA5DC">
      <w:pPr>
        <w:jc w:val="center"/>
        <w:rPr>
          <w:color w:val="auto"/>
        </w:rPr>
      </w:pPr>
      <w:r>
        <w:rPr>
          <w:color w:val="auto"/>
        </w:rPr>
        <w:drawing>
          <wp:inline distT="0" distB="0" distL="114300" distR="114300">
            <wp:extent cx="4115435" cy="1515110"/>
            <wp:effectExtent l="0" t="0" r="1206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115435" cy="1515110"/>
                    </a:xfrm>
                    <a:prstGeom prst="rect">
                      <a:avLst/>
                    </a:prstGeom>
                  </pic:spPr>
                </pic:pic>
              </a:graphicData>
            </a:graphic>
          </wp:inline>
        </w:drawing>
      </w:r>
    </w:p>
    <w:p w14:paraId="0501A75B">
      <w:pPr>
        <w:jc w:val="center"/>
        <w:rPr>
          <w:color w:val="auto"/>
        </w:rPr>
      </w:pPr>
      <w:r>
        <w:rPr>
          <w:color w:val="auto"/>
          <w:sz w:val="20"/>
        </w:rPr>
        <w:t>图5: 任务2 RANSAC内点（绿色）与离群点（红色）</w:t>
      </w:r>
    </w:p>
    <w:p w14:paraId="5DF55CC5">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左图像的极线可视化：</w:t>
      </w:r>
    </w:p>
    <w:p w14:paraId="6089059A">
      <w:pPr>
        <w:jc w:val="center"/>
        <w:rPr>
          <w:color w:val="auto"/>
        </w:rPr>
      </w:pPr>
      <w:r>
        <w:rPr>
          <w:color w:val="auto"/>
        </w:rPr>
        <w:drawing>
          <wp:inline distT="0" distB="0" distL="114300" distR="114300">
            <wp:extent cx="4010660" cy="29546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010660" cy="2954655"/>
                    </a:xfrm>
                    <a:prstGeom prst="rect">
                      <a:avLst/>
                    </a:prstGeom>
                  </pic:spPr>
                </pic:pic>
              </a:graphicData>
            </a:graphic>
          </wp:inline>
        </w:drawing>
      </w:r>
    </w:p>
    <w:p w14:paraId="6BD057CF">
      <w:pPr>
        <w:jc w:val="center"/>
        <w:rPr>
          <w:color w:val="auto"/>
        </w:rPr>
      </w:pPr>
      <w:r>
        <w:rPr>
          <w:color w:val="auto"/>
          <w:sz w:val="20"/>
        </w:rPr>
        <w:t>图6: 任务2左图极线可视化</w:t>
      </w:r>
    </w:p>
    <w:p w14:paraId="5B48E64C">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右图像的极线可视化：</w:t>
      </w:r>
    </w:p>
    <w:p w14:paraId="5C8FFE0A">
      <w:pPr>
        <w:jc w:val="center"/>
        <w:rPr>
          <w:color w:val="auto"/>
        </w:rPr>
      </w:pPr>
      <w:r>
        <w:rPr>
          <w:color w:val="auto"/>
        </w:rPr>
        <w:drawing>
          <wp:inline distT="0" distB="0" distL="114300" distR="114300">
            <wp:extent cx="3993515" cy="294068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993515" cy="2940685"/>
                    </a:xfrm>
                    <a:prstGeom prst="rect">
                      <a:avLst/>
                    </a:prstGeom>
                  </pic:spPr>
                </pic:pic>
              </a:graphicData>
            </a:graphic>
          </wp:inline>
        </w:drawing>
      </w:r>
    </w:p>
    <w:p w14:paraId="4110F301">
      <w:pPr>
        <w:jc w:val="center"/>
        <w:rPr>
          <w:color w:val="auto"/>
        </w:rPr>
      </w:pPr>
      <w:r>
        <w:rPr>
          <w:color w:val="auto"/>
          <w:sz w:val="20"/>
        </w:rPr>
        <w:t>图7: 任务2右图极线可视化</w:t>
      </w:r>
    </w:p>
    <w:p w14:paraId="5EEBFB54">
      <w:pPr>
        <w:pStyle w:val="4"/>
        <w:widowControl w:val="0"/>
        <w:numPr>
          <w:ilvl w:val="1"/>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2"/>
          <w:sz w:val="28"/>
          <w:szCs w:val="24"/>
          <w:lang w:val="en-US" w:eastAsia="zh-CN"/>
        </w:rPr>
      </w:pPr>
      <w:r>
        <w:rPr>
          <w:rFonts w:hint="default" w:ascii="Times New Roman" w:hAnsi="Times New Roman" w:eastAsia="黑体" w:cs="Times New Roman"/>
          <w:bCs w:val="0"/>
          <w:color w:val="auto"/>
          <w:kern w:val="2"/>
          <w:sz w:val="28"/>
          <w:szCs w:val="24"/>
          <w:lang w:val="en-US" w:eastAsia="zh-CN"/>
        </w:rPr>
        <w:t>对比分析</w:t>
      </w:r>
    </w:p>
    <w:p w14:paraId="7FB0F50C">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两个任务在极点位置和误差指标上存在显著差异：</w:t>
      </w:r>
    </w:p>
    <w:tbl>
      <w:tblPr>
        <w:tblStyle w:val="49"/>
        <w:tblW w:w="0" w:type="auto"/>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autofit"/>
        <w:tblCellMar>
          <w:top w:w="0" w:type="dxa"/>
          <w:left w:w="108" w:type="dxa"/>
          <w:bottom w:w="0" w:type="dxa"/>
          <w:right w:w="108" w:type="dxa"/>
        </w:tblCellMar>
      </w:tblPr>
      <w:tblGrid>
        <w:gridCol w:w="2880"/>
        <w:gridCol w:w="2880"/>
        <w:gridCol w:w="2880"/>
      </w:tblGrid>
      <w:tr w14:paraId="4275C24E">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2880" w:type="dxa"/>
          </w:tcPr>
          <w:p w14:paraId="1C76D149">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指标</w:t>
            </w:r>
          </w:p>
        </w:tc>
        <w:tc>
          <w:tcPr>
            <w:tcW w:w="2880" w:type="dxa"/>
          </w:tcPr>
          <w:p w14:paraId="1C90694A">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任务1</w:t>
            </w:r>
          </w:p>
        </w:tc>
        <w:tc>
          <w:tcPr>
            <w:tcW w:w="2880" w:type="dxa"/>
          </w:tcPr>
          <w:p w14:paraId="22CAE5C2">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任务2</w:t>
            </w:r>
          </w:p>
        </w:tc>
      </w:tr>
      <w:tr w14:paraId="08348219">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2880" w:type="dxa"/>
          </w:tcPr>
          <w:p w14:paraId="11CDEC84">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平均误差 (px)</w:t>
            </w:r>
          </w:p>
        </w:tc>
        <w:tc>
          <w:tcPr>
            <w:tcW w:w="2880" w:type="dxa"/>
          </w:tcPr>
          <w:p w14:paraId="7BE83BED">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0.0692</w:t>
            </w:r>
          </w:p>
        </w:tc>
        <w:tc>
          <w:tcPr>
            <w:tcW w:w="2880" w:type="dxa"/>
          </w:tcPr>
          <w:p w14:paraId="0FBE3DB7">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0.3162</w:t>
            </w:r>
          </w:p>
        </w:tc>
      </w:tr>
      <w:tr w14:paraId="15880D59">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2880" w:type="dxa"/>
          </w:tcPr>
          <w:p w14:paraId="02C4E473">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匹配点数/内点数</w:t>
            </w:r>
          </w:p>
        </w:tc>
        <w:tc>
          <w:tcPr>
            <w:tcW w:w="2880" w:type="dxa"/>
          </w:tcPr>
          <w:p w14:paraId="014E9AE0">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168</w:t>
            </w:r>
          </w:p>
        </w:tc>
        <w:tc>
          <w:tcPr>
            <w:tcW w:w="2880" w:type="dxa"/>
          </w:tcPr>
          <w:p w14:paraId="32EB04D4">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101</w:t>
            </w:r>
          </w:p>
        </w:tc>
      </w:tr>
      <w:tr w14:paraId="2B226462">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2880" w:type="dxa"/>
          </w:tcPr>
          <w:p w14:paraId="32D4CF04">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左极点差异 (px)</w:t>
            </w:r>
          </w:p>
        </w:tc>
        <w:tc>
          <w:tcPr>
            <w:tcW w:w="2880" w:type="dxa"/>
          </w:tcPr>
          <w:p w14:paraId="4B93B06C">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w:t>
            </w:r>
          </w:p>
        </w:tc>
        <w:tc>
          <w:tcPr>
            <w:tcW w:w="2880" w:type="dxa"/>
          </w:tcPr>
          <w:p w14:paraId="2C97849B">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11876.06</w:t>
            </w:r>
          </w:p>
        </w:tc>
      </w:tr>
      <w:tr w14:paraId="32CCCA7C">
        <w:tblPrEx>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Ex>
        <w:tc>
          <w:tcPr>
            <w:tcW w:w="2880" w:type="dxa"/>
          </w:tcPr>
          <w:p w14:paraId="6E15CCFF">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右极点差异 (px)</w:t>
            </w:r>
          </w:p>
        </w:tc>
        <w:tc>
          <w:tcPr>
            <w:tcW w:w="2880" w:type="dxa"/>
          </w:tcPr>
          <w:p w14:paraId="47FE31EE">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w:t>
            </w:r>
          </w:p>
        </w:tc>
        <w:tc>
          <w:tcPr>
            <w:tcW w:w="2880" w:type="dxa"/>
          </w:tcPr>
          <w:p w14:paraId="166AE2DB">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1636.34</w:t>
            </w:r>
          </w:p>
        </w:tc>
      </w:tr>
    </w:tbl>
    <w:p w14:paraId="11C41A6C">
      <w:pPr>
        <w:widowControl w:val="0"/>
        <w:wordWrap w:val="0"/>
        <w:bidi w:val="0"/>
        <w:spacing w:after="0" w:line="360" w:lineRule="auto"/>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分析：</w:t>
      </w:r>
    </w:p>
    <w:p w14:paraId="04B09E75">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任务1使用人工标注的匹配点，精度显著高于任务2（0.069px vs 0.316px），这是由于人工标注消除了误匹配的影响。</w:t>
      </w:r>
    </w:p>
    <w:p w14:paraId="0213B093">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任务2的RANSAC内点率为75.9%，表明自动特征匹配存在约24%的离群点，但RANSAC框架能够有效识别并排除这些离群点。</w:t>
      </w:r>
    </w:p>
    <w:p w14:paraId="62335062">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两个任务估计的极点位置差异巨大（左极点差异11876px，右极点差异1636px），这表明不同的匹配点集会导致基础矩阵估计结果的显著差异。</w:t>
      </w:r>
    </w:p>
    <w:p w14:paraId="2EA123F9">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任务1的极点位置远离图像范围，这可能意味着相机配置接近平行视角，导致极点投影在无穷远处。</w:t>
      </w:r>
    </w:p>
    <w:p w14:paraId="1028F1A8">
      <w:pPr>
        <w:rPr>
          <w:color w:val="auto"/>
        </w:rPr>
      </w:pPr>
      <w:r>
        <w:rPr>
          <w:color w:val="auto"/>
        </w:rPr>
        <w:br w:type="page"/>
      </w:r>
    </w:p>
    <w:p w14:paraId="7D99CD17">
      <w:pPr>
        <w:pStyle w:val="3"/>
        <w:widowControl w:val="0"/>
        <w:numPr>
          <w:ilvl w:val="0"/>
          <w:numId w:val="7"/>
        </w:numPr>
        <w:wordWrap w:val="0"/>
        <w:bidi w:val="0"/>
        <w:spacing w:before="50" w:beforeLines="50" w:beforeAutospacing="0" w:after="50" w:afterLines="50" w:afterAutospacing="0" w:line="360" w:lineRule="auto"/>
        <w:ind w:left="0" w:leftChars="0" w:firstLine="0" w:firstLineChars="0"/>
        <w:jc w:val="both"/>
        <w:rPr>
          <w:rFonts w:hint="default" w:ascii="Times New Roman" w:hAnsi="Times New Roman" w:eastAsia="黑体" w:cs="Times New Roman"/>
          <w:bCs w:val="0"/>
          <w:color w:val="auto"/>
          <w:kern w:val="44"/>
          <w:sz w:val="30"/>
          <w:szCs w:val="24"/>
          <w:lang w:eastAsia="zh-CN"/>
        </w:rPr>
      </w:pPr>
      <w:r>
        <w:rPr>
          <w:rFonts w:hint="default" w:ascii="Times New Roman" w:hAnsi="Times New Roman" w:eastAsia="黑体" w:cs="Times New Roman"/>
          <w:bCs w:val="0"/>
          <w:color w:val="auto"/>
          <w:kern w:val="44"/>
          <w:sz w:val="30"/>
          <w:szCs w:val="24"/>
          <w:lang w:eastAsia="zh-CN"/>
        </w:rPr>
        <w:t>结论</w:t>
      </w:r>
    </w:p>
    <w:p w14:paraId="46A2FB65">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本实验成功实现了基于8点算法和RANSAC框架的基础矩阵估计方法，并完成了两个任务的对比实验。主要结论如下：</w:t>
      </w:r>
    </w:p>
    <w:p w14:paraId="11BE0C27">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8点算法结合Hartley归一化能够稳定地从匹配点估计基础矩阵，在人工标注数据上达到了0.069像素的高精度。</w:t>
      </w:r>
    </w:p>
    <w:p w14:paraId="394B9F18">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RANSAC框架在处理自动特征匹配的离群点时表现良好，能够从133个初始匹配中识别出101个内点，内点率达到75.9%。</w:t>
      </w:r>
    </w:p>
    <w:p w14:paraId="33F63F08">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人工标注匹配点的精度远高于自动特征检测匹配，但自动方法具有更好的可扩展性和实用性。</w:t>
      </w:r>
    </w:p>
    <w:p w14:paraId="53118D36">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基础矩阵的估计结果对输入匹配点的质量敏感，不同的匹配点集可能导致极点位置的显著差异。</w:t>
      </w:r>
    </w:p>
    <w:p w14:paraId="2B417DDC">
      <w:pPr>
        <w:widowControl w:val="0"/>
        <w:wordWrap w:val="0"/>
        <w:bidi w:val="0"/>
        <w:spacing w:after="0" w:line="360" w:lineRule="auto"/>
        <w:ind w:firstLine="480" w:firstLineChars="200"/>
        <w:jc w:val="both"/>
        <w:rPr>
          <w:rFonts w:hint="default" w:ascii="Times New Roman" w:hAnsi="Times New Roman" w:eastAsia="宋体" w:cs="Times New Roman"/>
          <w:color w:val="auto"/>
          <w:kern w:val="2"/>
          <w:sz w:val="24"/>
          <w:szCs w:val="24"/>
          <w:lang w:val="en-US" w:eastAsia="zh-CN"/>
        </w:rPr>
      </w:pPr>
      <w:r>
        <w:rPr>
          <w:rFonts w:hint="default" w:ascii="Times New Roman" w:hAnsi="Times New Roman" w:eastAsia="宋体" w:cs="Times New Roman"/>
          <w:color w:val="auto"/>
          <w:kern w:val="2"/>
          <w:sz w:val="24"/>
          <w:szCs w:val="24"/>
          <w:lang w:val="en-US" w:eastAsia="zh-CN"/>
        </w:rPr>
        <w:t>实验验证了对极几何理论的正确性，所有估计的基础矩阵均满足秩为2约束和对极约束条件。</w:t>
      </w:r>
    </w:p>
    <w:p w14:paraId="009E84E6">
      <w:pPr>
        <w:rPr>
          <w:color w:val="auto"/>
        </w:rPr>
      </w:pPr>
      <w:r>
        <w:rPr>
          <w:color w:val="auto"/>
        </w:rPr>
        <w:br w:type="page"/>
      </w:r>
    </w:p>
    <w:p w14:paraId="0E6B6418">
      <w:pPr>
        <w:pStyle w:val="3"/>
        <w:rPr>
          <w:color w:val="auto"/>
        </w:rPr>
      </w:pPr>
      <w:r>
        <w:rPr>
          <w:color w:val="auto"/>
        </w:rPr>
        <w:t>附录A：项目结构</w:t>
      </w:r>
    </w:p>
    <w:p w14:paraId="2D462F8F">
      <w:pPr>
        <w:rPr>
          <w:color w:val="auto"/>
        </w:rPr>
      </w:pPr>
      <w:r>
        <w:rPr>
          <w:color w:val="auto"/>
        </w:rPr>
        <w:t>项目目录组织如下：</w:t>
      </w:r>
    </w:p>
    <w:p w14:paraId="1CAEA61B">
      <w:pPr>
        <w:rPr>
          <w:color w:val="auto"/>
        </w:rPr>
      </w:pPr>
      <w:r>
        <w:rPr>
          <w:rFonts w:ascii="Consolas" w:hAnsi="Consolas"/>
          <w:color w:val="auto"/>
          <w:sz w:val="18"/>
        </w:rPr>
        <w:t>experiment4/</w:t>
      </w:r>
      <w:r>
        <w:rPr>
          <w:rFonts w:ascii="Consolas" w:hAnsi="Consolas"/>
          <w:color w:val="auto"/>
          <w:sz w:val="18"/>
        </w:rPr>
        <w:br w:type="textWrapping"/>
      </w:r>
      <w:r>
        <w:rPr>
          <w:rFonts w:ascii="Consolas" w:hAnsi="Consolas"/>
          <w:color w:val="auto"/>
          <w:sz w:val="18"/>
        </w:rPr>
        <w:t>├── src/</w:t>
      </w:r>
      <w:r>
        <w:rPr>
          <w:rFonts w:ascii="Consolas" w:hAnsi="Consolas"/>
          <w:color w:val="auto"/>
          <w:sz w:val="18"/>
        </w:rPr>
        <w:br w:type="textWrapping"/>
      </w:r>
      <w:r>
        <w:rPr>
          <w:rFonts w:ascii="Consolas" w:hAnsi="Consolas"/>
          <w:color w:val="auto"/>
          <w:sz w:val="18"/>
        </w:rPr>
        <w:t>│   ├── core/</w:t>
      </w:r>
      <w:r>
        <w:rPr>
          <w:rFonts w:ascii="Consolas" w:hAnsi="Consolas"/>
          <w:color w:val="auto"/>
          <w:sz w:val="18"/>
        </w:rPr>
        <w:br w:type="textWrapping"/>
      </w:r>
      <w:r>
        <w:rPr>
          <w:rFonts w:ascii="Consolas" w:hAnsi="Consolas"/>
          <w:color w:val="auto"/>
          <w:sz w:val="18"/>
        </w:rPr>
        <w:t>│   │   ├── fundamental_matrix.py    # 8点算法、Hartley归一化</w:t>
      </w:r>
      <w:r>
        <w:rPr>
          <w:rFonts w:ascii="Consolas" w:hAnsi="Consolas"/>
          <w:color w:val="auto"/>
          <w:sz w:val="18"/>
        </w:rPr>
        <w:br w:type="textWrapping"/>
      </w:r>
      <w:r>
        <w:rPr>
          <w:rFonts w:ascii="Consolas" w:hAnsi="Consolas"/>
          <w:color w:val="auto"/>
          <w:sz w:val="18"/>
        </w:rPr>
        <w:t>│   │   ├── epipolar_geometry.py     # 极点、极线计算</w:t>
      </w:r>
      <w:r>
        <w:rPr>
          <w:rFonts w:ascii="Consolas" w:hAnsi="Consolas"/>
          <w:color w:val="auto"/>
          <w:sz w:val="18"/>
        </w:rPr>
        <w:br w:type="textWrapping"/>
      </w:r>
      <w:r>
        <w:rPr>
          <w:rFonts w:ascii="Consolas" w:hAnsi="Consolas"/>
          <w:color w:val="auto"/>
          <w:sz w:val="18"/>
        </w:rPr>
        <w:t>│   │   └── ransac.py                # RANSAC框架</w:t>
      </w:r>
      <w:r>
        <w:rPr>
          <w:rFonts w:ascii="Consolas" w:hAnsi="Consolas"/>
          <w:color w:val="auto"/>
          <w:sz w:val="18"/>
        </w:rPr>
        <w:br w:type="textWrapping"/>
      </w:r>
      <w:r>
        <w:rPr>
          <w:rFonts w:ascii="Consolas" w:hAnsi="Consolas"/>
          <w:color w:val="auto"/>
          <w:sz w:val="18"/>
        </w:rPr>
        <w:t>│   ├── features/</w:t>
      </w:r>
      <w:r>
        <w:rPr>
          <w:rFonts w:ascii="Consolas" w:hAnsi="Consolas"/>
          <w:color w:val="auto"/>
          <w:sz w:val="18"/>
        </w:rPr>
        <w:br w:type="textWrapping"/>
      </w:r>
      <w:r>
        <w:rPr>
          <w:rFonts w:ascii="Consolas" w:hAnsi="Consolas"/>
          <w:color w:val="auto"/>
          <w:sz w:val="18"/>
        </w:rPr>
        <w:t>│   │   ├── detector.py              # SIFT特征检测</w:t>
      </w:r>
      <w:r>
        <w:rPr>
          <w:rFonts w:ascii="Consolas" w:hAnsi="Consolas"/>
          <w:color w:val="auto"/>
          <w:sz w:val="18"/>
        </w:rPr>
        <w:br w:type="textWrapping"/>
      </w:r>
      <w:r>
        <w:rPr>
          <w:rFonts w:ascii="Consolas" w:hAnsi="Consolas"/>
          <w:color w:val="auto"/>
          <w:sz w:val="18"/>
        </w:rPr>
        <w:t>│   │   └── matcher.py               # 特征匹配</w:t>
      </w:r>
      <w:r>
        <w:rPr>
          <w:rFonts w:ascii="Consolas" w:hAnsi="Consolas"/>
          <w:color w:val="auto"/>
          <w:sz w:val="18"/>
        </w:rPr>
        <w:br w:type="textWrapping"/>
      </w:r>
      <w:r>
        <w:rPr>
          <w:rFonts w:ascii="Consolas" w:hAnsi="Consolas"/>
          <w:color w:val="auto"/>
          <w:sz w:val="18"/>
        </w:rPr>
        <w:t>│   ├── visualization/</w:t>
      </w:r>
      <w:r>
        <w:rPr>
          <w:rFonts w:ascii="Consolas" w:hAnsi="Consolas"/>
          <w:color w:val="auto"/>
          <w:sz w:val="18"/>
        </w:rPr>
        <w:br w:type="textWrapping"/>
      </w:r>
      <w:r>
        <w:rPr>
          <w:rFonts w:ascii="Consolas" w:hAnsi="Consolas"/>
          <w:color w:val="auto"/>
          <w:sz w:val="18"/>
        </w:rPr>
        <w:t>│   │   └── epipolar_vis.py          # 可视化功能</w:t>
      </w:r>
      <w:r>
        <w:rPr>
          <w:rFonts w:ascii="Consolas" w:hAnsi="Consolas"/>
          <w:color w:val="auto"/>
          <w:sz w:val="18"/>
        </w:rPr>
        <w:br w:type="textWrapping"/>
      </w:r>
      <w:r>
        <w:rPr>
          <w:rFonts w:ascii="Consolas" w:hAnsi="Consolas"/>
          <w:color w:val="auto"/>
          <w:sz w:val="18"/>
        </w:rPr>
        <w:t>│   └── utils/</w:t>
      </w:r>
      <w:r>
        <w:rPr>
          <w:rFonts w:ascii="Consolas" w:hAnsi="Consolas"/>
          <w:color w:val="auto"/>
          <w:sz w:val="18"/>
        </w:rPr>
        <w:br w:type="textWrapping"/>
      </w:r>
      <w:r>
        <w:rPr>
          <w:rFonts w:ascii="Consolas" w:hAnsi="Consolas"/>
          <w:color w:val="auto"/>
          <w:sz w:val="18"/>
        </w:rPr>
        <w:t>│       └── io_utils.py              # 数据加载工具</w:t>
      </w:r>
      <w:r>
        <w:rPr>
          <w:rFonts w:ascii="Consolas" w:hAnsi="Consolas"/>
          <w:color w:val="auto"/>
          <w:sz w:val="18"/>
        </w:rPr>
        <w:br w:type="textWrapping"/>
      </w:r>
      <w:r>
        <w:rPr>
          <w:rFonts w:ascii="Consolas" w:hAnsi="Consolas"/>
          <w:color w:val="auto"/>
          <w:sz w:val="18"/>
        </w:rPr>
        <w:t>├── scripts/</w:t>
      </w:r>
      <w:r>
        <w:rPr>
          <w:rFonts w:ascii="Consolas" w:hAnsi="Consolas"/>
          <w:color w:val="auto"/>
          <w:sz w:val="18"/>
        </w:rPr>
        <w:br w:type="textWrapping"/>
      </w:r>
      <w:r>
        <w:rPr>
          <w:rFonts w:ascii="Consolas" w:hAnsi="Consolas"/>
          <w:color w:val="auto"/>
          <w:sz w:val="18"/>
        </w:rPr>
        <w:t>│   ├── task1_given_matches.py       # 任务1执行脚本</w:t>
      </w:r>
      <w:r>
        <w:rPr>
          <w:rFonts w:ascii="Consolas" w:hAnsi="Consolas"/>
          <w:color w:val="auto"/>
          <w:sz w:val="18"/>
        </w:rPr>
        <w:br w:type="textWrapping"/>
      </w:r>
      <w:r>
        <w:rPr>
          <w:rFonts w:ascii="Consolas" w:hAnsi="Consolas"/>
          <w:color w:val="auto"/>
          <w:sz w:val="18"/>
        </w:rPr>
        <w:t>│   ├── task2_full_pipeline.py       # 任务2执行脚本</w:t>
      </w:r>
      <w:r>
        <w:rPr>
          <w:rFonts w:ascii="Consolas" w:hAnsi="Consolas"/>
          <w:color w:val="auto"/>
          <w:sz w:val="18"/>
        </w:rPr>
        <w:br w:type="textWrapping"/>
      </w:r>
      <w:r>
        <w:rPr>
          <w:rFonts w:ascii="Consolas" w:hAnsi="Consolas"/>
          <w:color w:val="auto"/>
          <w:sz w:val="18"/>
        </w:rPr>
        <w:t>│   └── compare_results.py           # 结果对比脚本</w:t>
      </w:r>
      <w:r>
        <w:rPr>
          <w:rFonts w:ascii="Consolas" w:hAnsi="Consolas"/>
          <w:color w:val="auto"/>
          <w:sz w:val="18"/>
        </w:rPr>
        <w:br w:type="textWrapping"/>
      </w:r>
      <w:r>
        <w:rPr>
          <w:rFonts w:ascii="Consolas" w:hAnsi="Consolas"/>
          <w:color w:val="auto"/>
          <w:sz w:val="18"/>
        </w:rPr>
        <w:t>├── results/</w:t>
      </w:r>
      <w:r>
        <w:rPr>
          <w:rFonts w:ascii="Consolas" w:hAnsi="Consolas"/>
          <w:color w:val="auto"/>
          <w:sz w:val="18"/>
        </w:rPr>
        <w:br w:type="textWrapping"/>
      </w:r>
      <w:r>
        <w:rPr>
          <w:rFonts w:ascii="Consolas" w:hAnsi="Consolas"/>
          <w:color w:val="auto"/>
          <w:sz w:val="18"/>
        </w:rPr>
        <w:t>│   ├── task1/                       # 任务1结果</w:t>
      </w:r>
      <w:r>
        <w:rPr>
          <w:rFonts w:ascii="Consolas" w:hAnsi="Consolas"/>
          <w:color w:val="auto"/>
          <w:sz w:val="18"/>
        </w:rPr>
        <w:br w:type="textWrapping"/>
      </w:r>
      <w:r>
        <w:rPr>
          <w:rFonts w:ascii="Consolas" w:hAnsi="Consolas"/>
          <w:color w:val="auto"/>
          <w:sz w:val="18"/>
        </w:rPr>
        <w:t>│   ├── task2/                       # 任务2结果</w:t>
      </w:r>
      <w:r>
        <w:rPr>
          <w:rFonts w:ascii="Consolas" w:hAnsi="Consolas"/>
          <w:color w:val="auto"/>
          <w:sz w:val="18"/>
        </w:rPr>
        <w:br w:type="textWrapping"/>
      </w:r>
      <w:r>
        <w:rPr>
          <w:rFonts w:ascii="Consolas" w:hAnsi="Consolas"/>
          <w:color w:val="auto"/>
          <w:sz w:val="18"/>
        </w:rPr>
        <w:t>│   └── comparison/                  # 对比分析结果</w:t>
      </w:r>
      <w:r>
        <w:rPr>
          <w:rFonts w:ascii="Consolas" w:hAnsi="Consolas"/>
          <w:color w:val="auto"/>
          <w:sz w:val="18"/>
        </w:rPr>
        <w:br w:type="textWrapping"/>
      </w:r>
      <w:r>
        <w:rPr>
          <w:rFonts w:ascii="Consolas" w:hAnsi="Consolas"/>
          <w:color w:val="auto"/>
          <w:sz w:val="18"/>
        </w:rPr>
        <w:t>├── left_upscaled.jpg                # 左视点图像</w:t>
      </w:r>
      <w:r>
        <w:rPr>
          <w:rFonts w:ascii="Consolas" w:hAnsi="Consolas"/>
          <w:color w:val="auto"/>
          <w:sz w:val="18"/>
        </w:rPr>
        <w:br w:type="textWrapping"/>
      </w:r>
      <w:r>
        <w:rPr>
          <w:rFonts w:ascii="Consolas" w:hAnsi="Consolas"/>
          <w:color w:val="auto"/>
          <w:sz w:val="18"/>
        </w:rPr>
        <w:t>├── right_upscaled.jpg               # 右视点图像</w:t>
      </w:r>
      <w:r>
        <w:rPr>
          <w:rFonts w:ascii="Consolas" w:hAnsi="Consolas"/>
          <w:color w:val="auto"/>
          <w:sz w:val="18"/>
        </w:rPr>
        <w:br w:type="textWrapping"/>
      </w:r>
      <w:r>
        <w:rPr>
          <w:rFonts w:ascii="Consolas" w:hAnsi="Consolas"/>
          <w:color w:val="auto"/>
          <w:sz w:val="18"/>
        </w:rPr>
        <w:t>└── h_matches（对极几何实践作业数据文件）.txt  # 人工标注匹配点</w:t>
      </w:r>
    </w:p>
    <w:p w14:paraId="75F68349">
      <w:pPr>
        <w:rPr>
          <w:color w:val="auto"/>
        </w:rPr>
      </w:pPr>
    </w:p>
    <w:p w14:paraId="51FBFDA8">
      <w:pPr>
        <w:rPr>
          <w:color w:val="auto"/>
        </w:rPr>
      </w:pPr>
      <w:r>
        <w:rPr>
          <w:color w:val="auto"/>
        </w:rPr>
        <w:t>各模块功能说明：</w:t>
      </w:r>
    </w:p>
    <w:p w14:paraId="16D5F91C">
      <w:pPr>
        <w:pStyle w:val="16"/>
        <w:rPr>
          <w:color w:val="auto"/>
        </w:rPr>
      </w:pPr>
      <w:r>
        <w:rPr>
          <w:color w:val="auto"/>
        </w:rPr>
        <w:t>core模块：实现基础矩阵估计的核心算法</w:t>
      </w:r>
    </w:p>
    <w:p w14:paraId="52E0558C">
      <w:pPr>
        <w:pStyle w:val="16"/>
        <w:rPr>
          <w:color w:val="auto"/>
        </w:rPr>
      </w:pPr>
      <w:r>
        <w:rPr>
          <w:color w:val="auto"/>
        </w:rPr>
        <w:t>features模块：实现SIFT特征检测和匹配</w:t>
      </w:r>
    </w:p>
    <w:p w14:paraId="702A83E6">
      <w:pPr>
        <w:pStyle w:val="16"/>
        <w:rPr>
          <w:color w:val="auto"/>
        </w:rPr>
      </w:pPr>
      <w:r>
        <w:rPr>
          <w:color w:val="auto"/>
        </w:rPr>
        <w:t>visualization模块：实现极线和匹配点的可视化</w:t>
      </w:r>
    </w:p>
    <w:p w14:paraId="79446711">
      <w:pPr>
        <w:pStyle w:val="16"/>
        <w:rPr>
          <w:color w:val="auto"/>
        </w:rPr>
      </w:pPr>
      <w:r>
        <w:rPr>
          <w:color w:val="auto"/>
        </w:rPr>
        <w:t>utils模块：提供数据加载等辅助功能</w:t>
      </w:r>
    </w:p>
    <w:p w14:paraId="33A3FCCE">
      <w:pPr>
        <w:rPr>
          <w:color w:val="auto"/>
        </w:rPr>
      </w:pPr>
      <w:r>
        <w:rPr>
          <w:color w:val="auto"/>
        </w:rPr>
        <w:br w:type="page"/>
      </w:r>
    </w:p>
    <w:p w14:paraId="27F09072">
      <w:pPr>
        <w:pStyle w:val="3"/>
        <w:rPr>
          <w:color w:val="auto"/>
        </w:rPr>
      </w:pPr>
      <w:r>
        <w:rPr>
          <w:color w:val="auto"/>
        </w:rPr>
        <w:t>附录B：使用说明</w:t>
      </w:r>
    </w:p>
    <w:p w14:paraId="1AFEF3CE">
      <w:pPr>
        <w:pStyle w:val="4"/>
        <w:rPr>
          <w:color w:val="auto"/>
        </w:rPr>
      </w:pPr>
      <w:r>
        <w:rPr>
          <w:color w:val="auto"/>
        </w:rPr>
        <w:t>环境依赖</w:t>
      </w:r>
    </w:p>
    <w:p w14:paraId="32E08093">
      <w:pPr>
        <w:rPr>
          <w:color w:val="auto"/>
        </w:rPr>
      </w:pPr>
      <w:r>
        <w:rPr>
          <w:color w:val="auto"/>
        </w:rPr>
        <w:t>本项目需要以下Python库：</w:t>
      </w:r>
    </w:p>
    <w:p w14:paraId="17C4435E">
      <w:pPr>
        <w:rPr>
          <w:color w:val="auto"/>
        </w:rPr>
      </w:pPr>
      <w:r>
        <w:rPr>
          <w:rFonts w:ascii="Consolas" w:hAnsi="Consolas"/>
          <w:color w:val="auto"/>
          <w:sz w:val="20"/>
        </w:rPr>
        <w:t>numpy</w:t>
      </w:r>
      <w:r>
        <w:rPr>
          <w:rFonts w:ascii="Consolas" w:hAnsi="Consolas"/>
          <w:color w:val="auto"/>
          <w:sz w:val="20"/>
        </w:rPr>
        <w:br w:type="textWrapping"/>
      </w:r>
      <w:r>
        <w:rPr>
          <w:rFonts w:ascii="Consolas" w:hAnsi="Consolas"/>
          <w:color w:val="auto"/>
          <w:sz w:val="20"/>
        </w:rPr>
        <w:t>opencv-python</w:t>
      </w:r>
      <w:r>
        <w:rPr>
          <w:rFonts w:ascii="Consolas" w:hAnsi="Consolas"/>
          <w:color w:val="auto"/>
          <w:sz w:val="20"/>
        </w:rPr>
        <w:br w:type="textWrapping"/>
      </w:r>
      <w:r>
        <w:rPr>
          <w:rFonts w:ascii="Consolas" w:hAnsi="Consolas"/>
          <w:color w:val="auto"/>
          <w:sz w:val="20"/>
        </w:rPr>
        <w:t>matplotlib</w:t>
      </w:r>
    </w:p>
    <w:p w14:paraId="69192EF4">
      <w:pPr>
        <w:rPr>
          <w:color w:val="auto"/>
        </w:rPr>
      </w:pPr>
    </w:p>
    <w:p w14:paraId="7D660EE5">
      <w:pPr>
        <w:rPr>
          <w:color w:val="auto"/>
        </w:rPr>
      </w:pPr>
      <w:r>
        <w:rPr>
          <w:color w:val="auto"/>
        </w:rPr>
        <w:t>安装命令：</w:t>
      </w:r>
    </w:p>
    <w:p w14:paraId="01BE5D89">
      <w:pPr>
        <w:rPr>
          <w:color w:val="auto"/>
        </w:rPr>
      </w:pPr>
      <w:r>
        <w:rPr>
          <w:rFonts w:ascii="Consolas" w:hAnsi="Consolas"/>
          <w:color w:val="auto"/>
          <w:sz w:val="20"/>
        </w:rPr>
        <w:t>pip install numpy opencv-python matplotlib</w:t>
      </w:r>
    </w:p>
    <w:p w14:paraId="0769D8C3">
      <w:pPr>
        <w:pStyle w:val="4"/>
        <w:rPr>
          <w:color w:val="auto"/>
        </w:rPr>
      </w:pPr>
      <w:r>
        <w:rPr>
          <w:color w:val="auto"/>
        </w:rPr>
        <w:t>运行方法</w:t>
      </w:r>
    </w:p>
    <w:p w14:paraId="671FE1C0">
      <w:pPr>
        <w:rPr>
          <w:color w:val="auto"/>
        </w:rPr>
      </w:pPr>
      <w:r>
        <w:rPr>
          <w:color w:val="auto"/>
        </w:rPr>
        <w:t>在项目根目录下执行以下命令：</w:t>
      </w:r>
    </w:p>
    <w:p w14:paraId="7D01492E">
      <w:pPr>
        <w:rPr>
          <w:color w:val="auto"/>
        </w:rPr>
      </w:pPr>
    </w:p>
    <w:p w14:paraId="542A4F83">
      <w:pPr>
        <w:rPr>
          <w:color w:val="auto"/>
        </w:rPr>
      </w:pPr>
      <w:r>
        <w:rPr>
          <w:color w:val="auto"/>
        </w:rPr>
        <w:t>运行任务1（使用给定匹配点）：</w:t>
      </w:r>
    </w:p>
    <w:p w14:paraId="09E19411">
      <w:pPr>
        <w:rPr>
          <w:color w:val="auto"/>
        </w:rPr>
      </w:pPr>
      <w:r>
        <w:rPr>
          <w:rFonts w:ascii="Consolas" w:hAnsi="Consolas"/>
          <w:color w:val="auto"/>
          <w:sz w:val="20"/>
        </w:rPr>
        <w:t>python scripts/task1_given_matches.py</w:t>
      </w:r>
    </w:p>
    <w:p w14:paraId="49FB52E0">
      <w:pPr>
        <w:rPr>
          <w:color w:val="auto"/>
        </w:rPr>
      </w:pPr>
    </w:p>
    <w:p w14:paraId="29EB7590">
      <w:pPr>
        <w:rPr>
          <w:color w:val="auto"/>
        </w:rPr>
      </w:pPr>
      <w:r>
        <w:rPr>
          <w:color w:val="auto"/>
        </w:rPr>
        <w:t>运行任务2（SIFT+RANSAC完整流程）：</w:t>
      </w:r>
    </w:p>
    <w:p w14:paraId="39AC812C">
      <w:pPr>
        <w:rPr>
          <w:color w:val="auto"/>
        </w:rPr>
      </w:pPr>
      <w:r>
        <w:rPr>
          <w:rFonts w:ascii="Consolas" w:hAnsi="Consolas"/>
          <w:color w:val="auto"/>
          <w:sz w:val="20"/>
        </w:rPr>
        <w:t>python scripts/task2_full_pipeline.py</w:t>
      </w:r>
    </w:p>
    <w:p w14:paraId="5F8109A6">
      <w:pPr>
        <w:rPr>
          <w:color w:val="auto"/>
        </w:rPr>
      </w:pPr>
    </w:p>
    <w:p w14:paraId="35E17477">
      <w:pPr>
        <w:rPr>
          <w:color w:val="auto"/>
        </w:rPr>
      </w:pPr>
      <w:r>
        <w:rPr>
          <w:color w:val="auto"/>
        </w:rPr>
        <w:t>对比两个任务的结果：</w:t>
      </w:r>
    </w:p>
    <w:p w14:paraId="62799B62">
      <w:pPr>
        <w:rPr>
          <w:color w:val="auto"/>
        </w:rPr>
      </w:pPr>
      <w:r>
        <w:rPr>
          <w:rFonts w:ascii="Consolas" w:hAnsi="Consolas"/>
          <w:color w:val="auto"/>
          <w:sz w:val="20"/>
        </w:rPr>
        <w:t>python scripts/compare_results.py</w:t>
      </w:r>
    </w:p>
    <w:p w14:paraId="45C29C7B">
      <w:pPr>
        <w:rPr>
          <w:color w:val="auto"/>
        </w:rPr>
      </w:pPr>
    </w:p>
    <w:p w14:paraId="1080DA97">
      <w:pPr>
        <w:rPr>
          <w:color w:val="auto"/>
        </w:rPr>
      </w:pPr>
      <w:r>
        <w:rPr>
          <w:color w:val="auto"/>
        </w:rPr>
        <w:t>运行结果将保存在results/目录下，包括可视化图像、基础矩阵、极点坐标和统计数据等文件。</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ＭＳ 明朝">
    <w:altName w:val="宋体"/>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6">
    <w:nsid w:val="35BCD583"/>
    <w:multiLevelType w:val="multilevel"/>
    <w:tmpl w:val="35BCD583"/>
    <w:lvl w:ilvl="0" w:tentative="0">
      <w:start w:val="1"/>
      <w:numFmt w:val="decimal"/>
      <w:lvlText w:val="%1"/>
      <w:lvlJc w:val="left"/>
      <w:pPr>
        <w:tabs>
          <w:tab w:val="left" w:pos="312"/>
        </w:tabs>
      </w:pPr>
      <w:rPr>
        <w:rFonts w:hint="default"/>
        <w:b/>
        <w:bCs/>
        <w:sz w:val="30"/>
        <w:szCs w:val="30"/>
      </w:rPr>
    </w:lvl>
    <w:lvl w:ilvl="1" w:tentative="0">
      <w:start w:val="1"/>
      <w:numFmt w:val="decimal"/>
      <w:suff w:val="space"/>
      <w:lvlText w:val="%1.%2"/>
      <w:lvlJc w:val="left"/>
      <w:pPr>
        <w:tabs>
          <w:tab w:val="left" w:pos="312"/>
        </w:tabs>
        <w:ind w:left="0" w:firstLine="0"/>
      </w:pPr>
      <w:rPr>
        <w:rFonts w:hint="default" w:ascii="Times New Roman" w:hAnsi="Times New Roman" w:cs="Times New Roman"/>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4"/>
  </w:num>
  <w:num w:numId="3">
    <w:abstractNumId w:val="5"/>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2311485"/>
    <w:rsid w:val="360B1F26"/>
    <w:rsid w:val="4D9936D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2">
    <w:name w:val="Default Paragraph Font"/>
    <w:semiHidden/>
    <w:unhideWhenUsed/>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6"/>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4"/>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6"/>
    <w:unhideWhenUsed/>
    <w:uiPriority w:val="99"/>
    <w:pPr>
      <w:tabs>
        <w:tab w:val="center" w:pos="4680"/>
        <w:tab w:val="right" w:pos="9360"/>
      </w:tabs>
      <w:spacing w:after="0" w:line="240" w:lineRule="auto"/>
    </w:pPr>
  </w:style>
  <w:style w:type="paragraph" w:styleId="25">
    <w:name w:val="header"/>
    <w:basedOn w:val="1"/>
    <w:link w:val="135"/>
    <w:unhideWhenUsed/>
    <w:uiPriority w:val="99"/>
    <w:pPr>
      <w:tabs>
        <w:tab w:val="center" w:pos="4680"/>
        <w:tab w:val="right" w:pos="9360"/>
      </w:tabs>
      <w:spacing w:after="0" w:line="240" w:lineRule="auto"/>
    </w:pPr>
  </w:style>
  <w:style w:type="paragraph" w:styleId="26">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5"/>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3">
    <w:name w:val="Table Grid"/>
    <w:basedOn w:val="3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Light Shading"/>
    <w:basedOn w:val="3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5">
    <w:name w:val="Light Shading Accent 1"/>
    <w:basedOn w:val="3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6">
    <w:name w:val="Light Shading Accent 2"/>
    <w:basedOn w:val="3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7">
    <w:name w:val="Light Shading Accent 3"/>
    <w:basedOn w:val="3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8">
    <w:name w:val="Light Shading Accent 4"/>
    <w:basedOn w:val="3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9">
    <w:name w:val="Light Shading Accent 5"/>
    <w:basedOn w:val="3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Shading Accent 6"/>
    <w:basedOn w:val="3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1">
    <w:name w:val="Light List"/>
    <w:basedOn w:val="3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2">
    <w:name w:val="Light List Accent 1"/>
    <w:basedOn w:val="3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3">
    <w:name w:val="Light List Accent 2"/>
    <w:basedOn w:val="3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4">
    <w:name w:val="Light List Accent 3"/>
    <w:basedOn w:val="3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5">
    <w:name w:val="Light List Accent 4"/>
    <w:basedOn w:val="3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6">
    <w:name w:val="Light List Accent 5"/>
    <w:basedOn w:val="3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7">
    <w:name w:val="Light List Accent 6"/>
    <w:basedOn w:val="3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8">
    <w:name w:val="Light Grid"/>
    <w:basedOn w:val="3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9">
    <w:name w:val="Light Grid Accent 1"/>
    <w:basedOn w:val="3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0">
    <w:name w:val="Light Grid Accent 2"/>
    <w:basedOn w:val="3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1">
    <w:name w:val="Light Grid Accent 3"/>
    <w:basedOn w:val="3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2">
    <w:name w:val="Light Grid Accent 4"/>
    <w:basedOn w:val="3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3">
    <w:name w:val="Light Grid Accent 5"/>
    <w:basedOn w:val="3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4">
    <w:name w:val="Light Grid Accent 6"/>
    <w:basedOn w:val="3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5">
    <w:name w:val="Medium Shading 1"/>
    <w:basedOn w:val="3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6">
    <w:name w:val="Medium Shading 1 Accent 1"/>
    <w:basedOn w:val="3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7">
    <w:name w:val="Medium Shading 1 Accent 2"/>
    <w:basedOn w:val="3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8">
    <w:name w:val="Medium Shading 1 Accent 3"/>
    <w:basedOn w:val="3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9">
    <w:name w:val="Medium Shading 1 Accent 4"/>
    <w:basedOn w:val="3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0">
    <w:name w:val="Medium Shading 1 Accent 5"/>
    <w:basedOn w:val="3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1">
    <w:name w:val="Medium Shading 1 Accent 6"/>
    <w:basedOn w:val="3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2">
    <w:name w:val="Medium Shading 2"/>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1"/>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2"/>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3"/>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4"/>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5"/>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6"/>
    <w:basedOn w:val="3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List 1"/>
    <w:basedOn w:val="3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0">
    <w:name w:val="Medium List 1 Accent 1"/>
    <w:basedOn w:val="3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1">
    <w:name w:val="Medium List 1 Accent 2"/>
    <w:basedOn w:val="3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2">
    <w:name w:val="Medium List 1 Accent 3"/>
    <w:basedOn w:val="3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3">
    <w:name w:val="Medium List 1 Accent 4"/>
    <w:basedOn w:val="3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4">
    <w:name w:val="Medium List 1 Accent 5"/>
    <w:basedOn w:val="3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5">
    <w:name w:val="Medium List 1 Accent 6"/>
    <w:basedOn w:val="3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6">
    <w:name w:val="Medium List 2"/>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1"/>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2"/>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3"/>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4"/>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5"/>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6"/>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Grid 1"/>
    <w:basedOn w:val="3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4">
    <w:name w:val="Medium Grid 1 Accent 1"/>
    <w:basedOn w:val="3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5">
    <w:name w:val="Medium Grid 1 Accent 2"/>
    <w:basedOn w:val="3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6">
    <w:name w:val="Medium Grid 1 Accent 3"/>
    <w:basedOn w:val="3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7">
    <w:name w:val="Medium Grid 1 Accent 4"/>
    <w:basedOn w:val="3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8">
    <w:name w:val="Medium Grid 1 Accent 5"/>
    <w:basedOn w:val="3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9">
    <w:name w:val="Medium Grid 1 Accent 6"/>
    <w:basedOn w:val="3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0">
    <w:name w:val="Medium Grid 2"/>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1">
    <w:name w:val="Medium Grid 2 Accent 1"/>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2">
    <w:name w:val="Medium Grid 2 Accent 2"/>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3">
    <w:name w:val="Medium Grid 2 Accent 3"/>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4">
    <w:name w:val="Medium Grid 2 Accent 4"/>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5">
    <w:name w:val="Medium Grid 2 Accent 5"/>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6">
    <w:name w:val="Medium Grid 2 Accent 6"/>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7">
    <w:name w:val="Medium Grid 3"/>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8">
    <w:name w:val="Medium Grid 3 Accent 1"/>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9">
    <w:name w:val="Medium Grid 3 Accent 2"/>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0">
    <w:name w:val="Medium Grid 3 Accent 3"/>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1">
    <w:name w:val="Medium Grid 3 Accent 4"/>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2">
    <w:name w:val="Medium Grid 3 Accent 5"/>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3">
    <w:name w:val="Medium Grid 3 Accent 6"/>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4">
    <w:name w:val="Dark List"/>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5">
    <w:name w:val="Dark List Accent 1"/>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6">
    <w:name w:val="Dark List Accent 2"/>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7">
    <w:name w:val="Dark List Accent 3"/>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8">
    <w:name w:val="Dark List Accent 4"/>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9">
    <w:name w:val="Dark List Accent 5"/>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0">
    <w:name w:val="Dark List Accent 6"/>
    <w:basedOn w:val="3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1">
    <w:name w:val="Colorful Shading"/>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1"/>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2"/>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3"/>
    <w:basedOn w:val="3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5">
    <w:name w:val="Colorful Shading Accent 4"/>
    <w:basedOn w:val="3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5"/>
    <w:basedOn w:val="3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6"/>
    <w:basedOn w:val="3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List"/>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9">
    <w:name w:val="Colorful List Accent 1"/>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0">
    <w:name w:val="Colorful List Accent 2"/>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1">
    <w:name w:val="Colorful List Accent 3"/>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2">
    <w:name w:val="Colorful List Accent 4"/>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3">
    <w:name w:val="Colorful List Accent 5"/>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4">
    <w:name w:val="Colorful List Accent 6"/>
    <w:basedOn w:val="3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5">
    <w:name w:val="Colorful Grid"/>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6">
    <w:name w:val="Colorful Grid Accent 1"/>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7">
    <w:name w:val="Colorful Grid Accent 2"/>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8">
    <w:name w:val="Colorful Grid Accent 3"/>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9">
    <w:name w:val="Colorful Grid Accent 4"/>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0">
    <w:name w:val="Colorful Grid Accent 5"/>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1">
    <w:name w:val="Colorful Grid Accent 6"/>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3">
    <w:name w:val="Strong"/>
    <w:basedOn w:val="132"/>
    <w:qFormat/>
    <w:uiPriority w:val="22"/>
    <w:rPr>
      <w:b/>
      <w:bCs/>
    </w:rPr>
  </w:style>
  <w:style w:type="character" w:styleId="134">
    <w:name w:val="Emphasis"/>
    <w:basedOn w:val="132"/>
    <w:qFormat/>
    <w:uiPriority w:val="20"/>
    <w:rPr>
      <w:i/>
      <w:iCs/>
    </w:rPr>
  </w:style>
  <w:style w:type="character" w:customStyle="1" w:styleId="135">
    <w:name w:val="Header Char"/>
    <w:basedOn w:val="132"/>
    <w:link w:val="25"/>
    <w:uiPriority w:val="99"/>
  </w:style>
  <w:style w:type="character" w:customStyle="1" w:styleId="136">
    <w:name w:val="Footer Char"/>
    <w:basedOn w:val="132"/>
    <w:link w:val="24"/>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32"/>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32"/>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32"/>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32"/>
    <w:link w:val="31"/>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32"/>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32"/>
    <w:link w:val="19"/>
    <w:qFormat/>
    <w:uiPriority w:val="99"/>
  </w:style>
  <w:style w:type="character" w:customStyle="1" w:styleId="145">
    <w:name w:val="Body Text 2 Char"/>
    <w:basedOn w:val="132"/>
    <w:link w:val="28"/>
    <w:qFormat/>
    <w:uiPriority w:val="99"/>
  </w:style>
  <w:style w:type="character" w:customStyle="1" w:styleId="146">
    <w:name w:val="Body Text 3 Char"/>
    <w:basedOn w:val="132"/>
    <w:link w:val="17"/>
    <w:qFormat/>
    <w:uiPriority w:val="99"/>
    <w:rPr>
      <w:sz w:val="16"/>
      <w:szCs w:val="16"/>
    </w:rPr>
  </w:style>
  <w:style w:type="character" w:customStyle="1" w:styleId="147">
    <w:name w:val="Macro Text Char"/>
    <w:basedOn w:val="132"/>
    <w:link w:val="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32"/>
    <w:link w:val="148"/>
    <w:qFormat/>
    <w:uiPriority w:val="29"/>
    <w:rPr>
      <w:i/>
      <w:iCs/>
      <w:color w:val="000000" w:themeColor="text1"/>
      <w14:textFill>
        <w14:solidFill>
          <w14:schemeClr w14:val="tx1"/>
        </w14:solidFill>
      </w14:textFill>
    </w:rPr>
  </w:style>
  <w:style w:type="character" w:customStyle="1" w:styleId="150">
    <w:name w:val="Heading 4 Char"/>
    <w:basedOn w:val="132"/>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32"/>
    <w:link w:val="7"/>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32"/>
    <w:link w:val="8"/>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32"/>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32"/>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32"/>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32"/>
    <w:link w:val="156"/>
    <w:qFormat/>
    <w:uiPriority w:val="30"/>
    <w:rPr>
      <w:b/>
      <w:bCs/>
      <w:i/>
      <w:iCs/>
      <w:color w:val="4F81BD" w:themeColor="accent1"/>
      <w14:textFill>
        <w14:solidFill>
          <w14:schemeClr w14:val="accent1"/>
        </w14:solidFill>
      </w14:textFill>
    </w:rPr>
  </w:style>
  <w:style w:type="character" w:customStyle="1" w:styleId="158">
    <w:name w:val="Subtle Emphasis"/>
    <w:basedOn w:val="132"/>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32"/>
    <w:qFormat/>
    <w:uiPriority w:val="21"/>
    <w:rPr>
      <w:b/>
      <w:bCs/>
      <w:i/>
      <w:iCs/>
      <w:color w:val="4F81BD" w:themeColor="accent1"/>
      <w14:textFill>
        <w14:solidFill>
          <w14:schemeClr w14:val="accent1"/>
        </w14:solidFill>
      </w14:textFill>
    </w:rPr>
  </w:style>
  <w:style w:type="character" w:customStyle="1" w:styleId="160">
    <w:name w:val="Subtle Reference"/>
    <w:basedOn w:val="132"/>
    <w:qFormat/>
    <w:uiPriority w:val="31"/>
    <w:rPr>
      <w:smallCaps/>
      <w:color w:val="C0504D" w:themeColor="accent2"/>
      <w:u w:val="single"/>
      <w14:textFill>
        <w14:solidFill>
          <w14:schemeClr w14:val="accent2"/>
        </w14:solidFill>
      </w14:textFill>
    </w:rPr>
  </w:style>
  <w:style w:type="character" w:customStyle="1" w:styleId="161">
    <w:name w:val="Intense Reference"/>
    <w:basedOn w:val="132"/>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32"/>
    <w:qFormat/>
    <w:uiPriority w:val="33"/>
    <w:rPr>
      <w:b/>
      <w:bCs/>
      <w:smallCaps/>
      <w:spacing w:val="5"/>
    </w:rPr>
  </w:style>
  <w:style w:type="paragraph" w:customStyle="1" w:styleId="163">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2334</Words>
  <Characters>3310</Characters>
  <Lines>0</Lines>
  <Paragraphs>0</Paragraphs>
  <TotalTime>2</TotalTime>
  <ScaleCrop>false</ScaleCrop>
  <LinksUpToDate>false</LinksUpToDate>
  <CharactersWithSpaces>3674</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仅此而已</cp:lastModifiedBy>
  <dcterms:modified xsi:type="dcterms:W3CDTF">2025-10-20T14:37:09Z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eyJoZGlkIjoiYzU0MGNmZjRmZTk0NjViNzQ0Mjg2MjgzMTZkNWJjNzIiLCJ1c2VySWQiOiI3NTczMzkxMzcifQ==</vt:lpwstr>
  </property>
  <property fmtid="{D5CDD505-2E9C-101B-9397-08002B2CF9AE}" pid="3" name="KSOProductBuildVer">
    <vt:lpwstr>2052-12.1.0.23125</vt:lpwstr>
  </property>
  <property fmtid="{D5CDD505-2E9C-101B-9397-08002B2CF9AE}" pid="4" name="ICV">
    <vt:lpwstr>798396F7C1294DDFB1074C59AB7BC98A_12</vt:lpwstr>
  </property>
</Properties>
</file>