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/>
          <w:b/>
          <w:color w:val="17365D"/>
          <w:sz w:val="62"/>
        </w:rPr>
        <w:t>ClaimCheck Pro</w:t>
      </w:r>
    </w:p>
    <w:p>
      <w:pPr>
        <w:jc w:val="center"/>
      </w:pPr>
      <w:r>
        <w:rPr>
          <w:rFonts w:ascii="Microsoft YaHei" w:hAnsi="Microsoft YaHei"/>
          <w:b/>
          <w:color w:val="2F5597"/>
          <w:sz w:val="40"/>
        </w:rPr>
        <w:t>跨平台商品真实性与一致性核验智能体</w:t>
      </w:r>
    </w:p>
    <w:p>
      <w:pPr>
        <w:jc w:val="center"/>
      </w:pPr>
      <w:r>
        <w:rPr>
          <w:color w:val="475467"/>
          <w:sz w:val="30"/>
        </w:rPr>
        <w:t>实施步骤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先完成零费用课程原型，再拆分FastAPI后端，最后开发Flutter手机APP与电脑网页版。所有实时第三方服务由用户自行配置。</w:t>
            </w:r>
          </w:p>
        </w:tc>
      </w:tr>
    </w:tbl>
    <w:p>
      <w:pPr>
        <w:spacing w:after="0"/>
      </w:pPr>
    </w:p>
    <w:p>
      <w:pPr>
        <w:spacing w:before="3100"/>
        <w:jc w:val="center"/>
      </w:pPr>
      <w:r>
        <w:rPr>
          <w:color w:val="667085"/>
          <w:sz w:val="22"/>
        </w:rPr>
        <w:t>本地优先 · 用户自带API · 开发者不承担调用费用</w:t>
      </w:r>
    </w:p>
    <w:p>
      <w:r>
        <w:br w:type="page"/>
      </w:r>
    </w:p>
    <w:p>
      <w:pPr>
        <w:pStyle w:val="Heading1"/>
      </w:pPr>
      <w:r>
        <w:t>一、实施范围和版本路线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版本</w:t>
            </w:r>
          </w:p>
        </w:tc>
        <w:tc>
          <w:tcPr>
            <w:tcW w:type="dxa" w:w="554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内容</w:t>
            </w:r>
          </w:p>
        </w:tc>
        <w:tc>
          <w:tcPr>
            <w:tcW w:type="dxa" w:w="2808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费用方式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V0.1 课程原型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Streamlit、三种输入、Mock与用户API、8个测试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开发者0调用费用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V1.0 本机产品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FastAPI后端、Flutter Web、Android APP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用户API或本地模型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V1.5 完整移动端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相机、分享入口、历史记录、报告同步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用户本机资源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V2.0 平台扩展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符合资质时接入官方OAuth和批准API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用户或平台规则决定</w:t>
            </w:r>
          </w:p>
        </w:tc>
      </w:tr>
    </w:tbl>
    <w:p>
      <w:pPr>
        <w:spacing w:after="0"/>
      </w:pPr>
    </w:p>
    <w:p>
      <w:pPr>
        <w:pStyle w:val="Heading1"/>
      </w:pPr>
      <w:r>
        <w:t>二、阶段1：Streamlit零费用课程原型</w:t>
      </w:r>
    </w:p>
    <w:p>
      <w:pPr>
        <w:pStyle w:val="Heading2"/>
      </w:pPr>
      <w:r>
        <w:t>2.1 环境与依赖</w:t>
      </w:r>
    </w:p>
    <w:p>
      <w:pPr>
        <w:pStyle w:val="CodeBlock"/>
      </w:pPr>
      <w:r>
        <w:t>python -m venv .venv</w:t>
      </w:r>
    </w:p>
    <w:p>
      <w:pPr>
        <w:pStyle w:val="CodeBlock"/>
      </w:pPr>
      <w:r>
        <w:t>.venv\Scripts\Activate.ps1</w:t>
      </w:r>
    </w:p>
    <w:p>
      <w:pPr>
        <w:pStyle w:val="CodeBlock"/>
      </w:pPr>
      <w:r>
        <w:t>python -m pip install streamlit requests beautifulsoup4 pydantic python-dotenv pillow</w:t>
      </w:r>
    </w:p>
    <w:p>
      <w:pPr>
        <w:pStyle w:val="Heading2"/>
      </w:pPr>
      <w:r>
        <w:t>2.2 原型页面</w:t>
      </w:r>
    </w:p>
    <w:p>
      <w:pPr>
        <w:pStyle w:val="ListBullet"/>
      </w:pPr>
      <w:r>
        <w:t>服务模式：Mock演示、用户自带API、本地模型。</w:t>
      </w:r>
    </w:p>
    <w:p>
      <w:pPr>
        <w:pStyle w:val="ListBullet"/>
      </w:pPr>
      <w:r>
        <w:t>输入标签页：商品链接、详情文本、商品截图。</w:t>
      </w:r>
    </w:p>
    <w:p>
      <w:pPr>
        <w:pStyle w:val="ListBullet"/>
      </w:pPr>
      <w:r>
        <w:t>模型设置：Base URL、API Key、模型名称和测试连接。</w:t>
      </w:r>
    </w:p>
    <w:p>
      <w:pPr>
        <w:pStyle w:val="ListBullet"/>
      </w:pPr>
      <w:r>
        <w:t>结果区域：商品身份、四级统计、声明卡片、来源和报告下载。</w:t>
      </w:r>
    </w:p>
    <w:p>
      <w:pPr>
        <w:pStyle w:val="Heading2"/>
      </w:pPr>
      <w:r>
        <w:t>2.3 Mock模式</w:t>
      </w:r>
    </w:p>
    <w:p>
      <w:pPr>
        <w:pStyle w:val="ListNumber"/>
      </w:pPr>
      <w:r>
        <w:t>建立4至6个预置案例。</w:t>
      </w:r>
    </w:p>
    <w:p>
      <w:pPr>
        <w:pStyle w:val="ListNumber"/>
      </w:pPr>
      <w:r>
        <w:t>案例数据保存在mock_data.py或JSON。</w:t>
      </w:r>
    </w:p>
    <w:p>
      <w:pPr>
        <w:pStyle w:val="ListNumber"/>
      </w:pPr>
      <w:r>
        <w:t>页面明确标注演示模式。</w:t>
      </w:r>
    </w:p>
    <w:p>
      <w:pPr>
        <w:pStyle w:val="ListNumber"/>
      </w:pPr>
      <w:r>
        <w:t>无密钥、无网络时运行全部页面和报告。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E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356B3F"/>
              </w:rPr>
              <w:t>阶段验收：老师电脑没有任何API Key时，项目仍可完整演示输入、进度、核验结果和报告下载。</w:t>
            </w:r>
          </w:p>
        </w:tc>
      </w:tr>
    </w:tbl>
    <w:p>
      <w:pPr>
        <w:spacing w:after="0"/>
      </w:pPr>
    </w:p>
    <w:p>
      <w:pPr>
        <w:pStyle w:val="Heading1"/>
      </w:pPr>
      <w:r>
        <w:t>三、阶段2：BYOK配置与统一AI网关</w:t>
      </w:r>
    </w:p>
    <w:p>
      <w:pPr>
        <w:pStyle w:val="Heading2"/>
      </w:pPr>
      <w:r>
        <w:t>3.1 设置字段</w:t>
      </w:r>
    </w:p>
    <w:p>
      <w:pPr>
        <w:pStyle w:val="ListBullet"/>
      </w:pPr>
      <w:r>
        <w:t>服务模式：用户API或本地模型。</w:t>
      </w:r>
    </w:p>
    <w:p>
      <w:pPr>
        <w:pStyle w:val="ListBullet"/>
      </w:pPr>
      <w:r>
        <w:t>文本模型Base URL、API Key、Model。</w:t>
      </w:r>
    </w:p>
    <w:p>
      <w:pPr>
        <w:pStyle w:val="ListBullet"/>
      </w:pPr>
      <w:r>
        <w:t>可选视觉模型和搜索服务配置。</w:t>
      </w:r>
    </w:p>
    <w:p>
      <w:pPr>
        <w:pStyle w:val="ListBullet"/>
      </w:pPr>
      <w:r>
        <w:t>Timeout、Retry、Temperature、Max Tokens。</w:t>
      </w:r>
    </w:p>
    <w:p>
      <w:pPr>
        <w:pStyle w:val="ListBullet"/>
      </w:pPr>
      <w:r>
        <w:t>默认仅当前会话使用。</w:t>
      </w:r>
    </w:p>
    <w:p>
      <w:pPr>
        <w:pStyle w:val="Heading2"/>
      </w:pPr>
      <w:r>
        <w:t>3.2 Provider适配层</w:t>
      </w:r>
    </w:p>
    <w:p>
      <w:pPr>
        <w:pStyle w:val="CodeBlock"/>
      </w:pPr>
      <w:r>
        <w:t>AIProvider</w:t>
      </w:r>
    </w:p>
    <w:p>
      <w:pPr>
        <w:pStyle w:val="CodeBlock"/>
      </w:pPr>
      <w:r>
        <w:t>├── test_connection()</w:t>
      </w:r>
    </w:p>
    <w:p>
      <w:pPr>
        <w:pStyle w:val="CodeBlock"/>
      </w:pPr>
      <w:r>
        <w:t>├── generate_text()</w:t>
      </w:r>
    </w:p>
    <w:p>
      <w:pPr>
        <w:pStyle w:val="CodeBlock"/>
      </w:pPr>
      <w:r>
        <w:t>├── analyze_image()</w:t>
      </w:r>
    </w:p>
    <w:p>
      <w:pPr>
        <w:pStyle w:val="CodeBlock"/>
      </w:pPr>
      <w:r>
        <w:t>├── supports_json_mode()</w:t>
      </w:r>
    </w:p>
    <w:p>
      <w:pPr>
        <w:pStyle w:val="CodeBlock"/>
      </w:pPr>
      <w:r>
        <w:t>└── supports_vision()</w:t>
      </w:r>
    </w:p>
    <w:p>
      <w:pPr>
        <w:pStyle w:val="CodeBlock"/>
      </w:pPr>
    </w:p>
    <w:p>
      <w:pPr>
        <w:pStyle w:val="CodeBlock"/>
      </w:pPr>
      <w:r>
        <w:t>Providers</w:t>
      </w:r>
    </w:p>
    <w:p>
      <w:pPr>
        <w:pStyle w:val="CodeBlock"/>
      </w:pPr>
      <w:r>
        <w:t>├── MockProvider</w:t>
      </w:r>
    </w:p>
    <w:p>
      <w:pPr>
        <w:pStyle w:val="CodeBlock"/>
      </w:pPr>
      <w:r>
        <w:t>├── OpenAICompatibleProvider</w:t>
      </w:r>
    </w:p>
    <w:p>
      <w:pPr>
        <w:pStyle w:val="CodeBlock"/>
      </w:pPr>
      <w:r>
        <w:t>└── LocalModelProvider</w:t>
      </w:r>
    </w:p>
    <w:p>
      <w:pPr>
        <w:pStyle w:val="Heading2"/>
      </w:pPr>
      <w:r>
        <w:t>3.3 能力检测</w:t>
      </w:r>
    </w:p>
    <w:p>
      <w:pPr>
        <w:pStyle w:val="ListNumber"/>
      </w:pPr>
      <w:r>
        <w:t>发送最小文本请求。</w:t>
      </w:r>
    </w:p>
    <w:p>
      <w:pPr>
        <w:pStyle w:val="ListNumber"/>
      </w:pPr>
      <w:r>
        <w:t>验证密钥和模型名称。</w:t>
      </w:r>
    </w:p>
    <w:p>
      <w:pPr>
        <w:pStyle w:val="ListNumber"/>
      </w:pPr>
      <w:r>
        <w:t>检测JSON输出。</w:t>
      </w:r>
    </w:p>
    <w:p>
      <w:pPr>
        <w:pStyle w:val="ListNumber"/>
      </w:pPr>
      <w:r>
        <w:t>视觉模型执行最小图片测试。</w:t>
      </w:r>
    </w:p>
    <w:p>
      <w:pPr>
        <w:pStyle w:val="ListNumber"/>
      </w:pPr>
      <w:r>
        <w:t>记录响应时间和错误原因。</w:t>
      </w:r>
    </w:p>
    <w:p>
      <w:pPr>
        <w:pStyle w:val="ListNumber"/>
      </w:pPr>
      <w:r>
        <w:t>不支持的能力在页面禁用。</w:t>
      </w:r>
    </w:p>
    <w:p>
      <w:pPr>
        <w:pStyle w:val="Heading2"/>
      </w:pPr>
      <w:r>
        <w:t>3.4 安全限制</w:t>
      </w:r>
    </w:p>
    <w:p>
      <w:pPr>
        <w:pStyle w:val="ListBullet"/>
      </w:pPr>
      <w:r>
        <w:t>仅允许HTTPS公网地址；本地模式可允许localhost和局域网。</w:t>
      </w:r>
    </w:p>
    <w:p>
      <w:pPr>
        <w:pStyle w:val="ListBullet"/>
      </w:pPr>
      <w:r>
        <w:t>禁止任意自定义请求模板，第一版只支持OpenAI兼容协议。</w:t>
      </w:r>
    </w:p>
    <w:p>
      <w:pPr>
        <w:pStyle w:val="ListBullet"/>
      </w:pPr>
      <w:r>
        <w:t>日志中对API Key脱敏。</w:t>
      </w:r>
    </w:p>
    <w:p>
      <w:pPr>
        <w:pStyle w:val="ListBullet"/>
      </w:pPr>
      <w:r>
        <w:t>报告和异常堆栈不包含密钥。</w:t>
      </w:r>
    </w:p>
    <w:p>
      <w:pPr>
        <w:pStyle w:val="ListBullet"/>
      </w:pPr>
      <w:r>
        <w:t>失败时不回退到开发者服务。</w:t>
      </w:r>
    </w:p>
    <w:p>
      <w:pPr>
        <w:pStyle w:val="Heading1"/>
      </w:pPr>
      <w:r>
        <w:t>四、阶段3：统一输入与商品解析</w:t>
      </w:r>
    </w:p>
    <w:p>
      <w:pPr>
        <w:pStyle w:val="Heading2"/>
      </w:pPr>
      <w:r>
        <w:t>4.1 链接输入</w:t>
      </w:r>
    </w:p>
    <w:p>
      <w:pPr>
        <w:pStyle w:val="ListBullet"/>
      </w:pPr>
      <w:r>
        <w:t>只允许http和https。</w:t>
      </w:r>
    </w:p>
    <w:p>
      <w:pPr>
        <w:pStyle w:val="ListBullet"/>
      </w:pPr>
      <w:r>
        <w:t>拒绝危险内网访问和异常重定向。</w:t>
      </w:r>
    </w:p>
    <w:p>
      <w:pPr>
        <w:pStyle w:val="ListBullet"/>
      </w:pPr>
      <w:r>
        <w:t>先用requests和BeautifulSoup读取。</w:t>
      </w:r>
    </w:p>
    <w:p>
      <w:pPr>
        <w:pStyle w:val="ListBullet"/>
      </w:pPr>
      <w:r>
        <w:t>优先解析JSON-LD Product数据。</w:t>
      </w:r>
    </w:p>
    <w:p>
      <w:pPr>
        <w:pStyle w:val="ListBullet"/>
      </w:pPr>
      <w:r>
        <w:t>动态页面再调用Playwright。</w:t>
      </w:r>
    </w:p>
    <w:p>
      <w:pPr>
        <w:pStyle w:val="ListBullet"/>
      </w:pPr>
      <w:r>
        <w:t>登录或验证码页面直接降级。</w:t>
      </w:r>
    </w:p>
    <w:p>
      <w:pPr>
        <w:pStyle w:val="Heading2"/>
      </w:pPr>
      <w:r>
        <w:t>4.2 详情文本</w:t>
      </w:r>
    </w:p>
    <w:p>
      <w:pPr>
        <w:pStyle w:val="ListBullet"/>
      </w:pPr>
      <w:r>
        <w:t>用户粘贴标题、规格和卖点。</w:t>
      </w:r>
    </w:p>
    <w:p>
      <w:pPr>
        <w:pStyle w:val="ListBullet"/>
      </w:pPr>
      <w:r>
        <w:t>清洗重复、空行和无关文本。</w:t>
      </w:r>
    </w:p>
    <w:p>
      <w:pPr>
        <w:pStyle w:val="ListBullet"/>
      </w:pPr>
      <w:r>
        <w:t>长度校验和敏感信息提示。</w:t>
      </w:r>
    </w:p>
    <w:p>
      <w:pPr>
        <w:pStyle w:val="Heading2"/>
      </w:pPr>
      <w:r>
        <w:t>4.3 商品截图</w:t>
      </w:r>
    </w:p>
    <w:p>
      <w:pPr>
        <w:pStyle w:val="ListBullet"/>
      </w:pPr>
      <w:r>
        <w:t>本地Pillow完成压缩和质量检查。</w:t>
      </w:r>
    </w:p>
    <w:p>
      <w:pPr>
        <w:pStyle w:val="ListBullet"/>
      </w:pPr>
      <w:r>
        <w:t>本地OCR优先提取品牌、型号和参数，避免云OCR费用。</w:t>
      </w:r>
    </w:p>
    <w:p>
      <w:pPr>
        <w:pStyle w:val="ListBullet"/>
      </w:pPr>
      <w:r>
        <w:t>用户配置视觉模型时，才进行复杂视觉理解。</w:t>
      </w:r>
    </w:p>
    <w:p>
      <w:pPr>
        <w:pStyle w:val="ListBullet"/>
      </w:pPr>
      <w:r>
        <w:t>展示最多3个候选商品，由用户确认。</w:t>
      </w:r>
    </w:p>
    <w:p>
      <w:pPr>
        <w:pStyle w:val="Heading1"/>
      </w:pPr>
      <w:r>
        <w:t>五、阶段4：证据检索与用户费用控制</w:t>
      </w:r>
    </w:p>
    <w:p>
      <w:pPr>
        <w:pStyle w:val="Heading2"/>
      </w:pPr>
      <w:r>
        <w:t>5.1 搜索方式</w:t>
      </w:r>
    </w:p>
    <w:p>
      <w:pPr>
        <w:pStyle w:val="ListBullet"/>
      </w:pPr>
      <w:r>
        <w:t>配置搜索API时执行实时检索。</w:t>
      </w:r>
    </w:p>
    <w:p>
      <w:pPr>
        <w:pStyle w:val="ListBullet"/>
      </w:pPr>
      <w:r>
        <w:t>没有搜索API时允许用户手动添加官方或评测链接。</w:t>
      </w:r>
    </w:p>
    <w:p>
      <w:pPr>
        <w:pStyle w:val="ListBullet"/>
      </w:pPr>
      <w:r>
        <w:t>Mock模式只使用预置证据。</w:t>
      </w:r>
    </w:p>
    <w:p>
      <w:pPr>
        <w:pStyle w:val="ListBullet"/>
      </w:pPr>
      <w:r>
        <w:t>不得伪造实时搜索结果。</w:t>
      </w:r>
    </w:p>
    <w:p>
      <w:pPr>
        <w:pStyle w:val="Heading2"/>
      </w:pPr>
      <w:r>
        <w:t>5.2 调用预算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限制项</w:t>
            </w:r>
          </w:p>
        </w:tc>
        <w:tc>
          <w:tcPr>
            <w:tcW w:type="dxa" w:w="691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推荐默认值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最大声明数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每条声明搜索结果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3至5条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文本模型最大调用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3至5次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视觉模型最大调用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1次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自动重试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最多1至2次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单任务超时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60至120秒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后台自动任务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关闭</w:t>
            </w:r>
          </w:p>
        </w:tc>
      </w:tr>
    </w:tbl>
    <w:p>
      <w:pPr>
        <w:spacing w:after="0"/>
      </w:pPr>
    </w:p>
    <w:p>
      <w:pPr>
        <w:pStyle w:val="Heading2"/>
      </w:pPr>
      <w:r>
        <w:t>5.3 分析前提示</w:t>
      </w:r>
    </w:p>
    <w:p>
      <w:pPr>
        <w:pStyle w:val="CodeBlock"/>
      </w:pPr>
      <w:r>
        <w:t>本次预计调用：</w:t>
      </w:r>
    </w:p>
    <w:p>
      <w:pPr>
        <w:pStyle w:val="CodeBlock"/>
      </w:pPr>
      <w:r>
        <w:t>文本模型：3次</w:t>
      </w:r>
    </w:p>
    <w:p>
      <w:pPr>
        <w:pStyle w:val="CodeBlock"/>
      </w:pPr>
      <w:r>
        <w:t>视觉模型：0或1次</w:t>
      </w:r>
    </w:p>
    <w:p>
      <w:pPr>
        <w:pStyle w:val="CodeBlock"/>
      </w:pPr>
      <w:r>
        <w:t>搜索服务：最多15条结果</w:t>
      </w:r>
    </w:p>
    <w:p>
      <w:pPr>
        <w:pStyle w:val="CodeBlock"/>
      </w:pPr>
      <w:r>
        <w:t>费用承担方：用户所配置的第三方服务账户</w:t>
      </w:r>
    </w:p>
    <w:p>
      <w:pPr>
        <w:pStyle w:val="CodeBlock"/>
      </w:pPr>
    </w:p>
    <w:p>
      <w:pPr>
        <w:pStyle w:val="CodeBlock"/>
      </w:pPr>
      <w:r>
        <w:t>[开始分析] [取消]</w:t>
      </w:r>
    </w:p>
    <w:p>
      <w:pPr>
        <w:pStyle w:val="Heading1"/>
      </w:pPr>
      <w:r>
        <w:t>六、阶段5：多源证据交叉验证</w:t>
      </w:r>
    </w:p>
    <w:p>
      <w:pPr>
        <w:pStyle w:val="ListNumber"/>
      </w:pPr>
      <w:r>
        <w:t>确认商品品牌、型号、版本和地区。</w:t>
      </w:r>
    </w:p>
    <w:p>
      <w:pPr>
        <w:pStyle w:val="ListNumber"/>
      </w:pPr>
      <w:r>
        <w:t>拆解最多5条原子声明。</w:t>
      </w:r>
    </w:p>
    <w:p>
      <w:pPr>
        <w:pStyle w:val="ListNumber"/>
      </w:pPr>
      <w:r>
        <w:t>为每条声明收集官方、专业评测和体验线索。</w:t>
      </w:r>
    </w:p>
    <w:p>
      <w:pPr>
        <w:pStyle w:val="ListNumber"/>
      </w:pPr>
      <w:r>
        <w:t>对来源进行A/B/C/D分级。</w:t>
      </w:r>
    </w:p>
    <w:p>
      <w:pPr>
        <w:pStyle w:val="ListNumber"/>
      </w:pPr>
      <w:r>
        <w:t>检查证据是否对应同一型号。</w:t>
      </w:r>
    </w:p>
    <w:p>
      <w:pPr>
        <w:pStyle w:val="ListNumber"/>
      </w:pPr>
      <w:r>
        <w:t>形成四级结论和置信度。</w:t>
      </w:r>
    </w:p>
    <w:p>
      <w:pPr>
        <w:pStyle w:val="ListNumber"/>
      </w:pPr>
      <w:r>
        <w:t>执行二次事实自检。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结论</w:t>
            </w:r>
          </w:p>
        </w:tc>
        <w:tc>
          <w:tcPr>
            <w:tcW w:type="dxa" w:w="792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使用条件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有证据支持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同型号A级证据明确支持，没有高质量冲突证据。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部分支持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核心内容成立，但条件、范围或实测存在差异。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存在冲突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同型号高可信资料与宣传直接矛盾。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证据不足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型号、来源或证据不充分。</w:t>
            </w:r>
          </w:p>
        </w:tc>
      </w:tr>
    </w:tbl>
    <w:p>
      <w:pPr>
        <w:spacing w:after="0"/>
      </w:pPr>
    </w:p>
    <w:p>
      <w:pPr>
        <w:pStyle w:val="Heading1"/>
      </w:pPr>
      <w:r>
        <w:t>七、阶段6：报告与本地存储</w:t>
      </w:r>
    </w:p>
    <w:p>
      <w:pPr>
        <w:pStyle w:val="ListBullet"/>
      </w:pPr>
      <w:r>
        <w:t>报告第一版支持Markdown和TXT。</w:t>
      </w:r>
    </w:p>
    <w:p>
      <w:pPr>
        <w:pStyle w:val="ListBullet"/>
      </w:pPr>
      <w:r>
        <w:t>保存商品身份、声明、证据、结论、服务模式和分析时间。</w:t>
      </w:r>
    </w:p>
    <w:p>
      <w:pPr>
        <w:pStyle w:val="ListBullet"/>
      </w:pPr>
      <w:r>
        <w:t>不保存完整API Key。</w:t>
      </w:r>
    </w:p>
    <w:p>
      <w:pPr>
        <w:pStyle w:val="ListBullet"/>
      </w:pPr>
      <w:r>
        <w:t>历史记录默认保存在用户电脑SQLite。</w:t>
      </w:r>
    </w:p>
    <w:p>
      <w:pPr>
        <w:pStyle w:val="ListBullet"/>
      </w:pPr>
      <w:r>
        <w:t>用户可以删除单条或全部历史。</w:t>
      </w:r>
    </w:p>
    <w:p>
      <w:pPr>
        <w:pStyle w:val="ListBullet"/>
      </w:pPr>
      <w:r>
        <w:t>后续增加Word和PDF导出。</w:t>
      </w:r>
    </w:p>
    <w:p>
      <w:pPr>
        <w:pStyle w:val="Heading1"/>
      </w:pPr>
      <w:r>
        <w:t>八、阶段7：迁移FastAPI统一后端</w:t>
      </w:r>
    </w:p>
    <w:p>
      <w:pPr>
        <w:pStyle w:val="Heading2"/>
      </w:pPr>
      <w:r>
        <w:t>8.1 后端模块</w:t>
      </w:r>
    </w:p>
    <w:p>
      <w:pPr>
        <w:pStyle w:val="CodeBlock"/>
      </w:pPr>
      <w:r>
        <w:t>backend/</w:t>
      </w:r>
    </w:p>
    <w:p>
      <w:pPr>
        <w:pStyle w:val="CodeBlock"/>
      </w:pPr>
      <w:r>
        <w:t>├── app/api/</w:t>
      </w:r>
    </w:p>
    <w:p>
      <w:pPr>
        <w:pStyle w:val="CodeBlock"/>
      </w:pPr>
      <w:r>
        <w:t>├── app/providers/</w:t>
      </w:r>
    </w:p>
    <w:p>
      <w:pPr>
        <w:pStyle w:val="CodeBlock"/>
      </w:pPr>
      <w:r>
        <w:t>├── app/crawlers/</w:t>
      </w:r>
    </w:p>
    <w:p>
      <w:pPr>
        <w:pStyle w:val="CodeBlock"/>
      </w:pPr>
      <w:r>
        <w:t>├── app/ocr/</w:t>
      </w:r>
    </w:p>
    <w:p>
      <w:pPr>
        <w:pStyle w:val="CodeBlock"/>
      </w:pPr>
      <w:r>
        <w:t>├── app/search/</w:t>
      </w:r>
    </w:p>
    <w:p>
      <w:pPr>
        <w:pStyle w:val="CodeBlock"/>
      </w:pPr>
      <w:r>
        <w:t>├── app/verifier/</w:t>
      </w:r>
    </w:p>
    <w:p>
      <w:pPr>
        <w:pStyle w:val="CodeBlock"/>
      </w:pPr>
      <w:r>
        <w:t>├── app/reports/</w:t>
      </w:r>
    </w:p>
    <w:p>
      <w:pPr>
        <w:pStyle w:val="CodeBlock"/>
      </w:pPr>
      <w:r>
        <w:t>├── app/storage/</w:t>
      </w:r>
    </w:p>
    <w:p>
      <w:pPr>
        <w:pStyle w:val="CodeBlock"/>
      </w:pPr>
      <w:r>
        <w:t>└── tests/</w:t>
      </w:r>
    </w:p>
    <w:p>
      <w:pPr>
        <w:pStyle w:val="Heading2"/>
      </w:pPr>
      <w:r>
        <w:t>8.2 核心接口</w:t>
      </w:r>
    </w:p>
    <w:p>
      <w:pPr>
        <w:pStyle w:val="CodeBlock"/>
      </w:pPr>
      <w:r>
        <w:t>POST /api/v1/config/test</w:t>
      </w:r>
    </w:p>
    <w:p>
      <w:pPr>
        <w:pStyle w:val="CodeBlock"/>
      </w:pPr>
      <w:r>
        <w:t>POST /api/v1/analyze/url</w:t>
      </w:r>
    </w:p>
    <w:p>
      <w:pPr>
        <w:pStyle w:val="CodeBlock"/>
      </w:pPr>
      <w:r>
        <w:t>POST /api/v1/analyze/text</w:t>
      </w:r>
    </w:p>
    <w:p>
      <w:pPr>
        <w:pStyle w:val="CodeBlock"/>
      </w:pPr>
      <w:r>
        <w:t>POST /api/v1/analyze/image</w:t>
      </w:r>
    </w:p>
    <w:p>
      <w:pPr>
        <w:pStyle w:val="CodeBlock"/>
      </w:pPr>
      <w:r>
        <w:t>GET  /api/v1/tasks/{task_id}</w:t>
      </w:r>
    </w:p>
    <w:p>
      <w:pPr>
        <w:pStyle w:val="CodeBlock"/>
      </w:pPr>
      <w:r>
        <w:t>GET  /api/v1/history</w:t>
      </w:r>
    </w:p>
    <w:p>
      <w:pPr>
        <w:pStyle w:val="CodeBlock"/>
      </w:pPr>
      <w:r>
        <w:t>GET  /api/v1/reports/{report_id}</w:t>
      </w:r>
    </w:p>
    <w:p>
      <w:pPr>
        <w:pStyle w:val="Heading2"/>
      </w:pPr>
      <w:r>
        <w:t>8.3 本地服务启动</w:t>
      </w:r>
    </w:p>
    <w:p>
      <w:pPr>
        <w:pStyle w:val="ListBullet"/>
      </w:pPr>
      <w:r>
        <w:t>默认监听127.0.0.1。</w:t>
      </w:r>
    </w:p>
    <w:p>
      <w:pPr>
        <w:pStyle w:val="ListBullet"/>
      </w:pPr>
      <w:r>
        <w:t>手机局域网连接时，由用户主动开启局域网监听。</w:t>
      </w:r>
    </w:p>
    <w:p>
      <w:pPr>
        <w:pStyle w:val="ListBullet"/>
      </w:pPr>
      <w:r>
        <w:t>首次连接显示配对码或Token。</w:t>
      </w:r>
    </w:p>
    <w:p>
      <w:pPr>
        <w:pStyle w:val="ListBullet"/>
      </w:pPr>
      <w:r>
        <w:t>不把后端无认证暴露到公网。</w:t>
      </w:r>
    </w:p>
    <w:p>
      <w:pPr>
        <w:pStyle w:val="Heading1"/>
      </w:pPr>
      <w:r>
        <w:t>九、阶段8：Flutter电脑网页和手机APP</w:t>
      </w:r>
    </w:p>
    <w:p>
      <w:pPr>
        <w:pStyle w:val="Heading2"/>
      </w:pPr>
      <w:r>
        <w:t>9.1 共用前端</w:t>
      </w:r>
    </w:p>
    <w:p>
      <w:pPr>
        <w:pStyle w:val="ListBullet"/>
      </w:pPr>
      <w:r>
        <w:t>同一Flutter工程输出Web和Android，后续增加iOS。</w:t>
      </w:r>
    </w:p>
    <w:p>
      <w:pPr>
        <w:pStyle w:val="ListBullet"/>
      </w:pPr>
      <w:r>
        <w:t>电脑端采用多栏证据布局。</w:t>
      </w:r>
    </w:p>
    <w:p>
      <w:pPr>
        <w:pStyle w:val="ListBullet"/>
      </w:pPr>
      <w:r>
        <w:t>手机端采用卡片和折叠面板。</w:t>
      </w:r>
    </w:p>
    <w:p>
      <w:pPr>
        <w:pStyle w:val="ListBullet"/>
      </w:pPr>
      <w:r>
        <w:t>手机支持相册、相机和系统分享商品链接。</w:t>
      </w:r>
    </w:p>
    <w:p>
      <w:pPr>
        <w:pStyle w:val="Heading2"/>
      </w:pPr>
      <w:r>
        <w:t>9.2 首次连接流程</w:t>
      </w:r>
    </w:p>
    <w:p>
      <w:pPr>
        <w:pStyle w:val="ListNumber"/>
      </w:pPr>
      <w:r>
        <w:t>电脑启动ClaimCheck本机后端。</w:t>
      </w:r>
    </w:p>
    <w:p>
      <w:pPr>
        <w:pStyle w:val="ListNumber"/>
      </w:pPr>
      <w:r>
        <w:t>手机和电脑连接同一局域网。</w:t>
      </w:r>
    </w:p>
    <w:p>
      <w:pPr>
        <w:pStyle w:val="ListNumber"/>
      </w:pPr>
      <w:r>
        <w:t>手机输入局域网地址或扫描配对二维码。</w:t>
      </w:r>
    </w:p>
    <w:p>
      <w:pPr>
        <w:pStyle w:val="ListNumber"/>
      </w:pPr>
      <w:r>
        <w:t>输入一次性配对码。</w:t>
      </w:r>
    </w:p>
    <w:p>
      <w:pPr>
        <w:pStyle w:val="ListNumber"/>
      </w:pPr>
      <w:r>
        <w:t>手机只调用用户电脑后端，不保存模型密钥。</w:t>
      </w:r>
    </w:p>
    <w:p>
      <w:pPr>
        <w:pStyle w:val="Heading1"/>
      </w:pPr>
      <w:r>
        <w:t>十、阶段9：8个固定测试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8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编号</w:t>
            </w:r>
          </w:p>
        </w:tc>
        <w:tc>
          <w:tcPr>
            <w:tcW w:type="dxa" w:w="3816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测试场景</w:t>
            </w:r>
          </w:p>
        </w:tc>
        <w:tc>
          <w:tcPr>
            <w:tcW w:type="dxa" w:w="511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验收重点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T01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Mock模式无网络运行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完整演示且标注预置数据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T02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用户API有效/无效配置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测试连接与错误说明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T03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本地模型连接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局域网或localhost正常调用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T04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公开商品链接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读取、识别和声明拆解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T05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截图候选确认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先确认型号再核验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T06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多源支持或部分支持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结论与证据对应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T07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冲突或证据不足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不做过度断言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T08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登录/验证码页面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降级文本或截图，不绕过限制</w:t>
            </w:r>
          </w:p>
        </w:tc>
      </w:tr>
    </w:tbl>
    <w:p>
      <w:pPr>
        <w:spacing w:after="0"/>
      </w:pPr>
    </w:p>
    <w:p>
      <w:pPr>
        <w:pStyle w:val="Heading1"/>
      </w:pPr>
      <w:r>
        <w:t>十一、阶段10：密钥和隐私验收</w:t>
      </w:r>
    </w:p>
    <w:p>
      <w:pPr>
        <w:ind w:left="173"/>
      </w:pPr>
      <w:r>
        <w:t>☐  GitHub中没有.env和真实密钥</w:t>
      </w:r>
    </w:p>
    <w:p>
      <w:pPr>
        <w:ind w:left="173"/>
      </w:pPr>
      <w:r>
        <w:t>☐  前端代码没有API Key</w:t>
      </w:r>
    </w:p>
    <w:p>
      <w:pPr>
        <w:ind w:left="173"/>
      </w:pPr>
      <w:r>
        <w:t>☐  日志不包含Key、Token或Cookie</w:t>
      </w:r>
    </w:p>
    <w:p>
      <w:pPr>
        <w:ind w:left="173"/>
      </w:pPr>
      <w:r>
        <w:t>☐  报告不包含密钥和本地敏感路径</w:t>
      </w:r>
    </w:p>
    <w:p>
      <w:pPr>
        <w:ind w:left="173"/>
      </w:pPr>
      <w:r>
        <w:t>☐  手机不保存模型密钥</w:t>
      </w:r>
    </w:p>
    <w:p>
      <w:pPr>
        <w:ind w:left="173"/>
      </w:pPr>
      <w:r>
        <w:t>☐  临时会话退出后清理Key</w:t>
      </w:r>
    </w:p>
    <w:p>
      <w:pPr>
        <w:ind w:left="173"/>
      </w:pPr>
      <w:r>
        <w:t>☐  长期保存时本机加密并可删除</w:t>
      </w:r>
    </w:p>
    <w:p>
      <w:pPr>
        <w:ind w:left="173"/>
      </w:pPr>
      <w:r>
        <w:t>☐  截图上传前有隐私裁剪提示</w:t>
      </w:r>
    </w:p>
    <w:p>
      <w:pPr>
        <w:ind w:left="173"/>
      </w:pPr>
      <w:r>
        <w:t>☐  平台账号密码不进入ClaimCheck</w:t>
      </w:r>
    </w:p>
    <w:p>
      <w:pPr>
        <w:pStyle w:val="Heading1"/>
      </w:pPr>
      <w:r>
        <w:t>十二、建议时间线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阶段</w:t>
            </w:r>
          </w:p>
        </w:tc>
        <w:tc>
          <w:tcPr>
            <w:tcW w:type="dxa" w:w="194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时间</w:t>
            </w:r>
          </w:p>
        </w:tc>
        <w:tc>
          <w:tcPr>
            <w:tcW w:type="dxa" w:w="6048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</w:rPr>
              <w:t>交付物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课程原型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7至10天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Streamlit、Mock、用户API、8个测试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FastAPI拆分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5至7天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统一后端和自动接口文档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Flutter Web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7至10天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电脑端响应式网页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Android APP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7至14天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手机端、相册、相机和分享入口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联调和测试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5至7天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本地配对、历史和报告</w:t>
            </w:r>
          </w:p>
        </w:tc>
      </w:tr>
    </w:tbl>
    <w:p>
      <w:pPr>
        <w:spacing w:after="0"/>
      </w:pPr>
    </w:p>
    <w:p>
      <w:pPr>
        <w:pStyle w:val="Heading1"/>
      </w:pPr>
      <w:r>
        <w:t>十三、最终交付物</w:t>
      </w:r>
    </w:p>
    <w:p>
      <w:pPr>
        <w:ind w:left="173"/>
      </w:pPr>
      <w:r>
        <w:t>☐  Streamlit课程原型</w:t>
      </w:r>
    </w:p>
    <w:p>
      <w:pPr>
        <w:ind w:left="173"/>
      </w:pPr>
      <w:r>
        <w:t>☐  FastAPI本机后端</w:t>
      </w:r>
    </w:p>
    <w:p>
      <w:pPr>
        <w:ind w:left="173"/>
      </w:pPr>
      <w:r>
        <w:t>☐  Flutter Web电脑端</w:t>
      </w:r>
    </w:p>
    <w:p>
      <w:pPr>
        <w:ind w:left="173"/>
      </w:pPr>
      <w:r>
        <w:t>☐  Android安装包</w:t>
      </w:r>
    </w:p>
    <w:p>
      <w:pPr>
        <w:ind w:left="173"/>
      </w:pPr>
      <w:r>
        <w:t>☐  Mock演示案例</w:t>
      </w:r>
    </w:p>
    <w:p>
      <w:pPr>
        <w:ind w:left="173"/>
      </w:pPr>
      <w:r>
        <w:t>☐  用户API配置说明</w:t>
      </w:r>
    </w:p>
    <w:p>
      <w:pPr>
        <w:ind w:left="173"/>
      </w:pPr>
      <w:r>
        <w:t>☐  本地模型连接说明</w:t>
      </w:r>
    </w:p>
    <w:p>
      <w:pPr>
        <w:ind w:left="173"/>
      </w:pPr>
      <w:r>
        <w:t>☐  8个测试报告</w:t>
      </w:r>
    </w:p>
    <w:p>
      <w:pPr>
        <w:ind w:left="173"/>
      </w:pPr>
      <w:r>
        <w:t>☐  项目概述与实施步骤</w:t>
      </w:r>
    </w:p>
    <w:p>
      <w:pPr>
        <w:ind w:left="173"/>
      </w:pPr>
      <w:r>
        <w:t>☐  README与答辩PPT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E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356B3F"/>
              </w:rPr>
              <w:t>最终实施原则：开发者只提供软件，不提供付费调用额度。任何实时模型、搜索、视觉或云服务均由用户自行配置，或者使用用户本地资源。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78787"/>
        <w:sz w:val="16"/>
      </w:rPr>
      <w:t>从课程原型到手机APP和电脑网页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6"/>
        <w:sz w:val="16"/>
      </w:rPr>
      <w:t>ClaimCheck Pro · 零费用架构实施步骤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 w:line="240" w:lineRule="auto"/>
      <w:ind w:left="317"/>
    </w:pPr>
    <w:rPr>
      <w:rFonts w:ascii="Consolas" w:hAnsi="Consolas" w:eastAsia="Microsoft YaHei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ClaimCheck Pro 零费用架构实施步骤</dc:title>
  <dc:subject>本地优先与用户自带API的产品实施指南</dc:subject>
  <dc:creator>weixuan.wang(王伟轩)</dc:creator>
  <keywords/>
  <dc:description>generated by python-docx</dc:description>
  <lastModifiedBy>weixuan.wang(王伟轩)</lastModifiedBy>
  <revision>1</revision>
  <dcterms:created xsi:type="dcterms:W3CDTF">2026-10-16T09:48:14.7568403Z</dcterms:created>
  <dcterms:modified xsi:type="dcterms:W3CDTF">2026-10-16T09:48:14.7568403Z</dcterms:modified>
  <category/>
</coreProperties>
</file>