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7002" w:rsidRPr="00247002" w:rsidRDefault="00247002" w:rsidP="00247002">
      <w:pPr>
        <w:spacing w:before="100" w:beforeAutospacing="1" w:after="100" w:afterAutospacing="1"/>
        <w:outlineLvl w:val="0"/>
        <w:rPr>
          <w:b/>
          <w:bCs/>
          <w:kern w:val="36"/>
          <w:sz w:val="48"/>
          <w:szCs w:val="48"/>
          <w:lang w:val="en-US"/>
        </w:rPr>
      </w:pPr>
      <w:r w:rsidRPr="00247002">
        <w:rPr>
          <w:b/>
          <w:bCs/>
          <w:kern w:val="36"/>
          <w:sz w:val="48"/>
          <w:szCs w:val="48"/>
          <w:lang w:val="en-US"/>
        </w:rPr>
        <w:t>Differential Mortality Risk and Healthcare Costs Associated with Fragility Fracture Types: A Cohort Study of Over 350,000 Brazilian Patients</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t>Abstract</w:t>
      </w:r>
    </w:p>
    <w:p w:rsidR="00247002" w:rsidRPr="00247002" w:rsidRDefault="00247002" w:rsidP="00247002">
      <w:pPr>
        <w:spacing w:before="100" w:beforeAutospacing="1" w:after="100" w:afterAutospacing="1"/>
        <w:rPr>
          <w:lang w:val="en-US"/>
        </w:rPr>
      </w:pPr>
      <w:r w:rsidRPr="00247002">
        <w:rPr>
          <w:b/>
          <w:bCs/>
          <w:lang w:val="en-US"/>
        </w:rPr>
        <w:t>Introduction:</w:t>
      </w:r>
      <w:r w:rsidRPr="00247002">
        <w:rPr>
          <w:lang w:val="en-US"/>
        </w:rPr>
        <w:t xml:space="preserve"> Fragility fractures represent a significant burden on healthcare systems worldwide, with varying impacts on mortality and costs depending on fracture type. However, few large-scale studies have examined the differential risk profiles across fracture types, particularly the interaction between age and fracture location on mortality outcomes.</w:t>
      </w:r>
    </w:p>
    <w:p w:rsidR="00247002" w:rsidRPr="00247002" w:rsidRDefault="00247002" w:rsidP="00247002">
      <w:pPr>
        <w:spacing w:before="100" w:beforeAutospacing="1" w:after="100" w:afterAutospacing="1"/>
        <w:rPr>
          <w:lang w:val="en-US"/>
        </w:rPr>
      </w:pPr>
      <w:r w:rsidRPr="00247002">
        <w:rPr>
          <w:b/>
          <w:bCs/>
          <w:lang w:val="en-US"/>
        </w:rPr>
        <w:t>Objective:</w:t>
      </w:r>
      <w:r w:rsidRPr="00247002">
        <w:rPr>
          <w:lang w:val="en-US"/>
        </w:rPr>
        <w:t xml:space="preserve"> To evaluate the differential mortality risk and healthcare costs associated with different fragility fracture types in a large Brazilian cohort, with emphasis on the interaction between age and fracture type as predictors of in-hospital mortality.</w:t>
      </w:r>
    </w:p>
    <w:p w:rsidR="00247002" w:rsidRPr="00247002" w:rsidRDefault="00247002" w:rsidP="00247002">
      <w:pPr>
        <w:spacing w:before="100" w:beforeAutospacing="1" w:after="100" w:afterAutospacing="1"/>
        <w:rPr>
          <w:lang w:val="en-US"/>
        </w:rPr>
      </w:pPr>
      <w:r w:rsidRPr="00247002">
        <w:rPr>
          <w:b/>
          <w:bCs/>
          <w:lang w:val="en-US"/>
        </w:rPr>
        <w:t>Methods:</w:t>
      </w:r>
      <w:r w:rsidRPr="00247002">
        <w:rPr>
          <w:lang w:val="en-US"/>
        </w:rPr>
        <w:t xml:space="preserve"> We conducted a retrospective cohort study analyzing 352,269 hospitalizations for fragility fractures in Brazil from 2019 to 2023. Data included patient demographics, fracture type (proximal femur, forearm/wrist, </w:t>
      </w:r>
      <w:proofErr w:type="spellStart"/>
      <w:r w:rsidRPr="00247002">
        <w:rPr>
          <w:lang w:val="en-US"/>
        </w:rPr>
        <w:t>humerus</w:t>
      </w:r>
      <w:proofErr w:type="spellEnd"/>
      <w:r w:rsidRPr="00247002">
        <w:rPr>
          <w:lang w:val="en-US"/>
        </w:rPr>
        <w:t>, vertebra, hip/pelvis), length of stay, total hospitalization costs, and mortality outcomes. Logistic regression models with interaction terms were used to assess the relationship between age, fracture type, and mortality. Mann-Whitney U tests compared costs and length of stay between survivors and non-survivors.</w:t>
      </w:r>
    </w:p>
    <w:p w:rsidR="00247002" w:rsidRPr="00247002" w:rsidRDefault="00247002" w:rsidP="00247002">
      <w:pPr>
        <w:spacing w:before="100" w:beforeAutospacing="1" w:after="100" w:afterAutospacing="1"/>
        <w:rPr>
          <w:lang w:val="en-US"/>
        </w:rPr>
      </w:pPr>
      <w:r w:rsidRPr="00247002">
        <w:rPr>
          <w:b/>
          <w:bCs/>
          <w:lang w:val="en-US"/>
        </w:rPr>
        <w:t>Results:</w:t>
      </w:r>
      <w:r w:rsidRPr="00247002">
        <w:rPr>
          <w:lang w:val="en-US"/>
        </w:rPr>
        <w:t xml:space="preserve"> The cohort was predominantly female (64.66%) with a mean age of 66.82 years. Overall mortality was 2.66%, varying significantly by fracture type: hip/pelvis (7.47%), proximal femur (4.03%), </w:t>
      </w:r>
      <w:proofErr w:type="spellStart"/>
      <w:r w:rsidRPr="00247002">
        <w:rPr>
          <w:lang w:val="en-US"/>
        </w:rPr>
        <w:t>humerus</w:t>
      </w:r>
      <w:proofErr w:type="spellEnd"/>
      <w:r w:rsidRPr="00247002">
        <w:rPr>
          <w:lang w:val="en-US"/>
        </w:rPr>
        <w:t xml:space="preserve"> (2.11%), vertebra (2.79%), and forearm/wrist (0.72%) (p&lt;0.0001). A significant interaction between age and fracture type on mortality was identified (p&lt;0.0001). For proximal femur fractures, each additional year of age increased mortality odds by 1.26%, compared to 0.76% for forearm/wrist fractures. Median hospitalization costs were significantly higher for patients who died (R$1,876.18 vs R$1,045.18, p&lt;0.0001).</w:t>
      </w:r>
    </w:p>
    <w:p w:rsidR="00247002" w:rsidRPr="00247002" w:rsidRDefault="00247002" w:rsidP="00247002">
      <w:pPr>
        <w:spacing w:before="100" w:beforeAutospacing="1" w:after="100" w:afterAutospacing="1"/>
        <w:rPr>
          <w:lang w:val="en-US"/>
        </w:rPr>
      </w:pPr>
      <w:r w:rsidRPr="00247002">
        <w:rPr>
          <w:b/>
          <w:bCs/>
          <w:lang w:val="en-US"/>
        </w:rPr>
        <w:t>Conclusion:</w:t>
      </w:r>
      <w:r w:rsidRPr="00247002">
        <w:rPr>
          <w:lang w:val="en-US"/>
        </w:rPr>
        <w:t xml:space="preserve"> Fracture type significantly modifies the age-related mortality risk in fragility fractures, with proximal femur and hip/pelvis fractures showing disproportionately higher mortality. These findings support the need for fracture-specific risk stratification and management protocols in elderly patients.</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t>Introduction</w:t>
      </w:r>
    </w:p>
    <w:p w:rsidR="00247002" w:rsidRPr="00247002" w:rsidRDefault="00247002" w:rsidP="00247002">
      <w:pPr>
        <w:spacing w:before="100" w:beforeAutospacing="1" w:after="100" w:afterAutospacing="1"/>
        <w:rPr>
          <w:lang w:val="en-US"/>
        </w:rPr>
      </w:pPr>
      <w:r w:rsidRPr="00247002">
        <w:rPr>
          <w:lang w:val="en-US"/>
        </w:rPr>
        <w:t xml:space="preserve">Brazil, with its rapidly aging population and developing healthcare infrastructure, faces unique challenges in managing fragility fractures. The Brazilian public health system (Sistema </w:t>
      </w:r>
      <w:proofErr w:type="spellStart"/>
      <w:r w:rsidRPr="00247002">
        <w:rPr>
          <w:lang w:val="en-US"/>
        </w:rPr>
        <w:t>Único</w:t>
      </w:r>
      <w:proofErr w:type="spellEnd"/>
      <w:r w:rsidRPr="00247002">
        <w:rPr>
          <w:lang w:val="en-US"/>
        </w:rPr>
        <w:t xml:space="preserve"> de </w:t>
      </w:r>
      <w:proofErr w:type="spellStart"/>
      <w:r w:rsidRPr="00247002">
        <w:rPr>
          <w:lang w:val="en-US"/>
        </w:rPr>
        <w:t>Saúde</w:t>
      </w:r>
      <w:proofErr w:type="spellEnd"/>
      <w:r w:rsidRPr="00247002">
        <w:rPr>
          <w:lang w:val="en-US"/>
        </w:rPr>
        <w:t xml:space="preserve"> - SUS) provides universal healthcare coverage, generating comprehensive hospitalization data that offers valuable insights into fracture </w:t>
      </w:r>
      <w:r w:rsidRPr="00247002">
        <w:rPr>
          <w:lang w:val="en-US"/>
        </w:rPr>
        <w:lastRenderedPageBreak/>
        <w:t>epidemiology and outcomes [2]. However, few studies have leveraged these large-scale datasets to examine the heterogeneous nature of fragility fracture outcomes.</w:t>
      </w:r>
    </w:p>
    <w:p w:rsidR="00247002" w:rsidRPr="00247002" w:rsidRDefault="00247002" w:rsidP="00247002">
      <w:pPr>
        <w:spacing w:before="100" w:beforeAutospacing="1" w:after="100" w:afterAutospacing="1"/>
        <w:rPr>
          <w:lang w:val="en-US"/>
        </w:rPr>
      </w:pPr>
      <w:r w:rsidRPr="00247002">
        <w:rPr>
          <w:lang w:val="en-US"/>
        </w:rPr>
        <w:t>Previous research has established that hip fractures carry the highest mortality risk among fragility fractures, with one-year mortality rates ranging from 20% to 30% [3]. However, most studies have focused on single fracture types or small cohorts, limiting the ability to directly compare outcomes across different fracture locations. Furthermore, the interaction between patient age and fracture type on mortality risk has not been thoroughly investigated, despite its potential importance for risk stratification and clinical decision-making.</w:t>
      </w:r>
    </w:p>
    <w:p w:rsidR="00247002" w:rsidRPr="00247002" w:rsidRDefault="00247002" w:rsidP="00247002">
      <w:pPr>
        <w:spacing w:before="100" w:beforeAutospacing="1" w:after="100" w:afterAutospacing="1"/>
        <w:rPr>
          <w:lang w:val="en-US"/>
        </w:rPr>
      </w:pPr>
      <w:r w:rsidRPr="00247002">
        <w:rPr>
          <w:lang w:val="en-US"/>
        </w:rPr>
        <w:t>Fragility fractures constitute a major public health challenge globally, particularly in aging populations. These fractures, occurring from low-energy trauma in individuals with compromised bone quality, are associated with substantial morbidity, mortality, and healthcare costs [1]. While the overall impact of fragility fractures is well-documented, the differential risks and outcomes associated with specific fracture types remain incompletely characterized, particularly in large, real-world cohorts.</w:t>
      </w:r>
    </w:p>
    <w:p w:rsidR="00247002" w:rsidRPr="00247002" w:rsidRDefault="00247002" w:rsidP="00247002">
      <w:pPr>
        <w:spacing w:before="100" w:beforeAutospacing="1" w:after="100" w:afterAutospacing="1"/>
        <w:rPr>
          <w:lang w:val="en-US"/>
        </w:rPr>
      </w:pPr>
      <w:r w:rsidRPr="00247002">
        <w:rPr>
          <w:lang w:val="en-US"/>
        </w:rPr>
        <w:t>The economic burden of fragility fractures extends beyond direct hospitalization costs, encompassing rehabilitation, long-term care, and societal productivity losses [4]. Understanding the cost differentials between fracture types is crucial for healthcare resource allocation and policy development. Yet, comprehensive cost analyses comparing different fragility fracture types within the same healthcare system are scarce.</w:t>
      </w:r>
    </w:p>
    <w:p w:rsidR="00247002" w:rsidRPr="00247002" w:rsidRDefault="00247002" w:rsidP="00247002">
      <w:pPr>
        <w:spacing w:before="100" w:beforeAutospacing="1" w:after="100" w:afterAutospacing="1"/>
        <w:rPr>
          <w:lang w:val="en-US"/>
        </w:rPr>
      </w:pPr>
      <w:r w:rsidRPr="00247002">
        <w:rPr>
          <w:lang w:val="en-US"/>
        </w:rPr>
        <w:t>This study addresses these knowledge gaps by analyzing a cohort of over 350,000 fragility fracture hospitalizations in Brazil. Our primary objective was to evaluate the differential mortality risk and healthcare costs associated with different fragility fracture types, with particular emphasis on the interaction between age and fracture type as predictors of in-hospital mortality.</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t>Materials &amp; Methods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Study Design and Data Source</w:t>
      </w:r>
    </w:p>
    <w:p w:rsidR="00247002" w:rsidRPr="00247002" w:rsidRDefault="00247002" w:rsidP="00247002">
      <w:pPr>
        <w:spacing w:before="100" w:beforeAutospacing="1" w:after="100" w:afterAutospacing="1"/>
        <w:rPr>
          <w:lang w:val="en-US"/>
        </w:rPr>
      </w:pPr>
      <w:r w:rsidRPr="00247002">
        <w:rPr>
          <w:lang w:val="en-US"/>
        </w:rPr>
        <w:t>We conducted a retrospective cohort study using administrative hospitalization data from the Brazilian public health system. The dataset included all hospitalizations with a primary diagnosis of fragility fracture from 2019 to 2023, excluding the year 2022 due to data unavailability. The study protocol followed STROBE guidelines for observational studies.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Study Population</w:t>
      </w:r>
    </w:p>
    <w:p w:rsidR="00247002" w:rsidRPr="00247002" w:rsidRDefault="00247002" w:rsidP="00247002">
      <w:pPr>
        <w:spacing w:before="100" w:beforeAutospacing="1" w:after="100" w:afterAutospacing="1"/>
        <w:rPr>
          <w:lang w:val="en-US"/>
        </w:rPr>
      </w:pPr>
      <w:r w:rsidRPr="00247002">
        <w:rPr>
          <w:lang w:val="en-US"/>
        </w:rPr>
        <w:t xml:space="preserve">The cohort comprised 352,269 hospitalizations for fragility fractures. </w:t>
      </w:r>
      <w:r w:rsidR="003652EA" w:rsidRPr="003652EA">
        <w:rPr>
          <w:lang w:val="en-US"/>
        </w:rPr>
        <w:t>Inclusion criteria required that hospitalizations had a primary diagnosis code corresponding to a fragility fracture based on the ICD-10 classification, that patients were 18 years or older, and that there was complete data on vital status at discharge</w:t>
      </w:r>
      <w:r w:rsidRPr="00247002">
        <w:rPr>
          <w:lang w:val="en-US"/>
        </w:rPr>
        <w:t>. We excluded pathological fractures unrelated to osteoporosis and high-energy trauma fractures based on external cause codes.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lastRenderedPageBreak/>
        <w:t>Variables and Definitions</w:t>
      </w:r>
    </w:p>
    <w:p w:rsidR="00247002" w:rsidRPr="00247002" w:rsidRDefault="00247002" w:rsidP="00247002">
      <w:pPr>
        <w:spacing w:before="100" w:beforeAutospacing="1" w:after="100" w:afterAutospacing="1"/>
        <w:rPr>
          <w:lang w:val="en-US"/>
        </w:rPr>
      </w:pPr>
      <w:r w:rsidRPr="00247002">
        <w:rPr>
          <w:lang w:val="en-US"/>
        </w:rPr>
        <w:t xml:space="preserve">Fracture types were classified into five categories based on anatomical location: proximal femur, forearm/wrist, </w:t>
      </w:r>
      <w:proofErr w:type="spellStart"/>
      <w:r w:rsidRPr="00247002">
        <w:rPr>
          <w:lang w:val="en-US"/>
        </w:rPr>
        <w:t>humerus</w:t>
      </w:r>
      <w:proofErr w:type="spellEnd"/>
      <w:r w:rsidRPr="00247002">
        <w:rPr>
          <w:lang w:val="en-US"/>
        </w:rPr>
        <w:t>, vertebra, and hip/pelvis. This classification was derived from ICD-10 codes in the primary diagnosis field. Age was analyzed as a continuous variable and categorized into groups: below 60 years, 60-69 years, 70-79 years, 80-89 years, and 90+ years.</w:t>
      </w:r>
    </w:p>
    <w:p w:rsidR="00247002" w:rsidRPr="00247002" w:rsidRDefault="00247002" w:rsidP="00247002">
      <w:pPr>
        <w:spacing w:before="100" w:beforeAutospacing="1" w:after="100" w:afterAutospacing="1"/>
        <w:rPr>
          <w:lang w:val="en-US"/>
        </w:rPr>
      </w:pPr>
      <w:r w:rsidRPr="00247002">
        <w:rPr>
          <w:lang w:val="en-US"/>
        </w:rPr>
        <w:t xml:space="preserve">The primary outcome was in-hospital mortality, defined as death during the index hospitalization. Secondary outcomes included length of stay (calculated as the difference between admission and discharge dates) and total hospitalization costs in Brazilian </w:t>
      </w:r>
      <w:proofErr w:type="spellStart"/>
      <w:r w:rsidRPr="00247002">
        <w:rPr>
          <w:lang w:val="en-US"/>
        </w:rPr>
        <w:t>Reais</w:t>
      </w:r>
      <w:proofErr w:type="spellEnd"/>
      <w:r w:rsidRPr="00247002">
        <w:rPr>
          <w:lang w:val="en-US"/>
        </w:rPr>
        <w:t xml:space="preserve"> (R$).</w:t>
      </w:r>
    </w:p>
    <w:p w:rsidR="00247002" w:rsidRPr="00247002" w:rsidRDefault="00247002" w:rsidP="00247002">
      <w:pPr>
        <w:spacing w:before="100" w:beforeAutospacing="1" w:after="100" w:afterAutospacing="1"/>
        <w:rPr>
          <w:lang w:val="en-US"/>
        </w:rPr>
      </w:pPr>
      <w:r w:rsidRPr="00247002">
        <w:rPr>
          <w:lang w:val="en-US"/>
        </w:rPr>
        <w:t>Demographic variables included sex and age. Geographic data included municipality of residence with corresponding latitude, longitude, and altitude, though regional analysis was limited due to uniform "Not classified" coding in the region variable.</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Statistical Analysis</w:t>
      </w:r>
    </w:p>
    <w:p w:rsidR="00247002" w:rsidRPr="00247002" w:rsidRDefault="00247002" w:rsidP="00247002">
      <w:pPr>
        <w:spacing w:before="100" w:beforeAutospacing="1" w:after="100" w:afterAutospacing="1"/>
        <w:rPr>
          <w:lang w:val="en-US"/>
        </w:rPr>
      </w:pPr>
      <w:r w:rsidRPr="00247002">
        <w:rPr>
          <w:lang w:val="en-US"/>
        </w:rPr>
        <w:t>Descriptive statistics were calculated for all variables, with continuous variables presented as mean (standard deviation) and median (interquartile range), and categorical variables as frequencies and percentages. Given the non-normal distribution of cost and length of stay data, non-parametric tests were employed.</w:t>
      </w:r>
    </w:p>
    <w:p w:rsidR="00247002" w:rsidRPr="00247002" w:rsidRDefault="00247002" w:rsidP="00247002">
      <w:pPr>
        <w:spacing w:before="100" w:beforeAutospacing="1" w:after="100" w:afterAutospacing="1"/>
        <w:rPr>
          <w:lang w:val="en-US"/>
        </w:rPr>
      </w:pPr>
      <w:r w:rsidRPr="00247002">
        <w:rPr>
          <w:lang w:val="en-US"/>
        </w:rPr>
        <w:t>Bivariate analyses used chi-square tests for categorical variables and Mann-Whitney U tests for continuous variables when comparing survivors and non-survivors. Kruskal-Wallis tests compared continuous variables across multiple fracture types.</w:t>
      </w:r>
    </w:p>
    <w:p w:rsidR="008B4665" w:rsidRDefault="00247002" w:rsidP="00247002">
      <w:pPr>
        <w:spacing w:before="100" w:beforeAutospacing="1" w:after="100" w:afterAutospacing="1"/>
        <w:rPr>
          <w:lang w:val="en-US"/>
        </w:rPr>
      </w:pPr>
      <w:r w:rsidRPr="00247002">
        <w:rPr>
          <w:lang w:val="en-US"/>
        </w:rPr>
        <w:t>Multivariable logistic regression models were constructed to identify predictors of mortality. The base model included age, sex, fracture type, length of stay, and hospitalization cost. To examine effect modification, interaction terms between age and fracture type were added. Model fit was assessed using pseudo R-squared values and the Hosmer-</w:t>
      </w:r>
      <w:proofErr w:type="spellStart"/>
      <w:r w:rsidRPr="00247002">
        <w:rPr>
          <w:lang w:val="en-US"/>
        </w:rPr>
        <w:t>Lemeshow</w:t>
      </w:r>
      <w:proofErr w:type="spellEnd"/>
      <w:r w:rsidRPr="00247002">
        <w:rPr>
          <w:lang w:val="en-US"/>
        </w:rPr>
        <w:t xml:space="preserve"> test.</w:t>
      </w:r>
    </w:p>
    <w:p w:rsidR="00247002" w:rsidRPr="00247002" w:rsidRDefault="00247002" w:rsidP="00247002">
      <w:pPr>
        <w:spacing w:before="100" w:beforeAutospacing="1" w:after="100" w:afterAutospacing="1"/>
        <w:rPr>
          <w:lang w:val="en-US"/>
        </w:rPr>
      </w:pPr>
      <w:r w:rsidRPr="00247002">
        <w:rPr>
          <w:lang w:val="en-US"/>
        </w:rPr>
        <w:t>Linear regression models explored factors associated with hospitalization costs and length of stay, with fracture type, age, and sex as predictors. Given the skewed distribution of outcomes, sensitivity analyses using log-transformed outcomes were performed.</w:t>
      </w:r>
    </w:p>
    <w:p w:rsidR="00247002" w:rsidRDefault="00247002" w:rsidP="00247002">
      <w:pPr>
        <w:spacing w:before="100" w:beforeAutospacing="1" w:after="100" w:afterAutospacing="1"/>
        <w:rPr>
          <w:lang w:val="en-US"/>
        </w:rPr>
      </w:pPr>
      <w:r w:rsidRPr="00247002">
        <w:rPr>
          <w:lang w:val="en-US"/>
        </w:rPr>
        <w:t xml:space="preserve">All analyses were conducted using Python 3.8 with pandas, </w:t>
      </w:r>
      <w:proofErr w:type="spellStart"/>
      <w:r w:rsidRPr="00247002">
        <w:rPr>
          <w:lang w:val="en-US"/>
        </w:rPr>
        <w:t>numpy</w:t>
      </w:r>
      <w:proofErr w:type="spellEnd"/>
      <w:r w:rsidRPr="00247002">
        <w:rPr>
          <w:lang w:val="en-US"/>
        </w:rPr>
        <w:t xml:space="preserve">, </w:t>
      </w:r>
      <w:proofErr w:type="spellStart"/>
      <w:r w:rsidRPr="00247002">
        <w:rPr>
          <w:lang w:val="en-US"/>
        </w:rPr>
        <w:t>scipy</w:t>
      </w:r>
      <w:proofErr w:type="spellEnd"/>
      <w:r w:rsidRPr="00247002">
        <w:rPr>
          <w:lang w:val="en-US"/>
        </w:rPr>
        <w:t xml:space="preserve">, and </w:t>
      </w:r>
      <w:proofErr w:type="spellStart"/>
      <w:r w:rsidRPr="00247002">
        <w:rPr>
          <w:lang w:val="en-US"/>
        </w:rPr>
        <w:t>statsmodels</w:t>
      </w:r>
      <w:proofErr w:type="spellEnd"/>
      <w:r w:rsidRPr="00247002">
        <w:rPr>
          <w:lang w:val="en-US"/>
        </w:rPr>
        <w:t xml:space="preserve"> libraries. Statistical significance was set at p&lt;0.05 for all tests.</w:t>
      </w:r>
    </w:p>
    <w:p w:rsidR="0098152C" w:rsidRDefault="0098152C" w:rsidP="0098152C">
      <w:pPr>
        <w:spacing w:before="100" w:beforeAutospacing="1" w:after="100" w:afterAutospacing="1"/>
        <w:outlineLvl w:val="2"/>
        <w:rPr>
          <w:b/>
          <w:bCs/>
          <w:sz w:val="27"/>
          <w:szCs w:val="27"/>
          <w:lang w:val="en-US"/>
        </w:rPr>
      </w:pPr>
      <w:r>
        <w:rPr>
          <w:b/>
          <w:bCs/>
          <w:sz w:val="27"/>
          <w:szCs w:val="27"/>
          <w:lang w:val="en-US"/>
        </w:rPr>
        <w:t>Ethic Statement</w:t>
      </w:r>
    </w:p>
    <w:p w:rsidR="0098152C" w:rsidRPr="00247002" w:rsidRDefault="00AB2F9C" w:rsidP="00AB2F9C">
      <w:pPr>
        <w:spacing w:beforeAutospacing="1" w:afterAutospacing="1"/>
        <w:rPr>
          <w:lang w:val="en-US"/>
        </w:rPr>
      </w:pPr>
      <w:r w:rsidRPr="00AB2F9C">
        <w:rPr>
          <w:lang w:val="en-US"/>
        </w:rPr>
        <w:t>This study was conducted using publicly available, fully anonymized secondary data from the Brazilian Public Health System's database (DATASUS). As the data does not contain any personal identifiers, and the study involves no direct contact with human subjects, it was exempt from review by an Institutional Review Board (IRB) or Ethics Committee, in accordance with local and international regulations for research on public domain databases.</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lastRenderedPageBreak/>
        <w:t>Results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Cohort Characteristics</w:t>
      </w:r>
    </w:p>
    <w:p w:rsidR="00247002" w:rsidRPr="00247002" w:rsidRDefault="00247002" w:rsidP="00247002">
      <w:pPr>
        <w:spacing w:before="100" w:beforeAutospacing="1" w:after="100" w:afterAutospacing="1"/>
        <w:rPr>
          <w:lang w:val="en-US"/>
        </w:rPr>
      </w:pPr>
      <w:r w:rsidRPr="00247002">
        <w:rPr>
          <w:lang w:val="en-US"/>
        </w:rPr>
        <w:t>The study cohort included 352,269 hospitalizations for fragility fractures. Table 1 presents the demographic and clinical characteristics of the study population. The cohort was predominantly female (227,783; 64.66%) with a mean age of 66.82 years (SD 24.38). The age distribution showed a concentration in older age groups, with the majority of patients aged 60 years or older (87.13%).</w:t>
      </w:r>
    </w:p>
    <w:p w:rsidR="00247002" w:rsidRPr="00247002" w:rsidRDefault="00247002" w:rsidP="00247002">
      <w:pPr>
        <w:spacing w:before="100" w:beforeAutospacing="1" w:after="100" w:afterAutospacing="1"/>
        <w:rPr>
          <w:lang w:val="en-US"/>
        </w:rPr>
      </w:pPr>
      <w:r w:rsidRPr="00247002">
        <w:rPr>
          <w:b/>
          <w:bCs/>
          <w:lang w:val="en-US"/>
        </w:rPr>
        <w:t>Table 1: Demographic and Clinical Characteristics of Patients Hospitalized with Fragility Fractures (N=352,269)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160"/>
      </w:tblGrid>
      <w:tr w:rsidR="00247002" w:rsidRPr="00247002" w:rsidTr="00247002">
        <w:trPr>
          <w:tblHeader/>
          <w:tblCellSpacing w:w="15" w:type="dxa"/>
        </w:trPr>
        <w:tc>
          <w:tcPr>
            <w:tcW w:w="0" w:type="auto"/>
            <w:vAlign w:val="center"/>
            <w:hideMark/>
          </w:tcPr>
          <w:p w:rsidR="00247002" w:rsidRPr="00247002" w:rsidRDefault="00247002" w:rsidP="00247002">
            <w:pPr>
              <w:jc w:val="center"/>
              <w:rPr>
                <w:b/>
                <w:bCs/>
              </w:rPr>
            </w:pPr>
            <w:proofErr w:type="spellStart"/>
            <w:r w:rsidRPr="00247002">
              <w:rPr>
                <w:b/>
                <w:bCs/>
              </w:rPr>
              <w:t>Characteristic</w:t>
            </w:r>
            <w:proofErr w:type="spellEnd"/>
          </w:p>
        </w:tc>
        <w:tc>
          <w:tcPr>
            <w:tcW w:w="0" w:type="auto"/>
            <w:vAlign w:val="center"/>
            <w:hideMark/>
          </w:tcPr>
          <w:p w:rsidR="00247002" w:rsidRPr="00247002" w:rsidRDefault="00247002" w:rsidP="00247002">
            <w:pPr>
              <w:jc w:val="center"/>
              <w:rPr>
                <w:b/>
                <w:bCs/>
              </w:rPr>
            </w:pPr>
            <w:r w:rsidRPr="00247002">
              <w:rPr>
                <w:b/>
                <w:bCs/>
              </w:rPr>
              <w:t xml:space="preserve">n (%) </w:t>
            </w:r>
            <w:proofErr w:type="spellStart"/>
            <w:r w:rsidRPr="00247002">
              <w:rPr>
                <w:b/>
                <w:bCs/>
              </w:rPr>
              <w:t>or</w:t>
            </w:r>
            <w:proofErr w:type="spellEnd"/>
            <w:r w:rsidRPr="00247002">
              <w:rPr>
                <w:b/>
                <w:bCs/>
              </w:rPr>
              <w:t xml:space="preserve"> </w:t>
            </w:r>
            <w:proofErr w:type="spellStart"/>
            <w:r w:rsidRPr="00247002">
              <w:rPr>
                <w:b/>
                <w:bCs/>
              </w:rPr>
              <w:t>Mean</w:t>
            </w:r>
            <w:proofErr w:type="spellEnd"/>
            <w:r w:rsidRPr="00247002">
              <w:rPr>
                <w:b/>
                <w:bCs/>
              </w:rPr>
              <w:t xml:space="preserve"> ± SD</w:t>
            </w:r>
          </w:p>
        </w:tc>
      </w:tr>
      <w:tr w:rsidR="00247002" w:rsidRPr="00247002" w:rsidTr="00247002">
        <w:trPr>
          <w:tblCellSpacing w:w="15" w:type="dxa"/>
        </w:trPr>
        <w:tc>
          <w:tcPr>
            <w:tcW w:w="0" w:type="auto"/>
            <w:vAlign w:val="center"/>
            <w:hideMark/>
          </w:tcPr>
          <w:p w:rsidR="00247002" w:rsidRPr="00247002" w:rsidRDefault="00247002" w:rsidP="00247002">
            <w:r w:rsidRPr="00247002">
              <w:rPr>
                <w:b/>
                <w:bCs/>
              </w:rPr>
              <w:t xml:space="preserve">Age, </w:t>
            </w:r>
            <w:proofErr w:type="spellStart"/>
            <w:r w:rsidRPr="00247002">
              <w:rPr>
                <w:b/>
                <w:bCs/>
              </w:rPr>
              <w:t>years</w:t>
            </w:r>
            <w:proofErr w:type="spellEnd"/>
          </w:p>
        </w:tc>
        <w:tc>
          <w:tcPr>
            <w:tcW w:w="0" w:type="auto"/>
            <w:vAlign w:val="center"/>
            <w:hideMark/>
          </w:tcPr>
          <w:p w:rsidR="00247002" w:rsidRPr="00247002" w:rsidRDefault="00247002" w:rsidP="00247002">
            <w:r w:rsidRPr="00247002">
              <w:t>66.82 ± 24.38</w:t>
            </w:r>
          </w:p>
        </w:tc>
      </w:tr>
      <w:tr w:rsidR="00247002" w:rsidRPr="00247002" w:rsidTr="00247002">
        <w:trPr>
          <w:tblCellSpacing w:w="15" w:type="dxa"/>
        </w:trPr>
        <w:tc>
          <w:tcPr>
            <w:tcW w:w="0" w:type="auto"/>
            <w:vAlign w:val="center"/>
            <w:hideMark/>
          </w:tcPr>
          <w:p w:rsidR="00247002" w:rsidRPr="00247002" w:rsidRDefault="00247002" w:rsidP="00247002">
            <w:r w:rsidRPr="00247002">
              <w:rPr>
                <w:b/>
                <w:bCs/>
              </w:rPr>
              <w:t xml:space="preserve">Age </w:t>
            </w:r>
            <w:proofErr w:type="spellStart"/>
            <w:r w:rsidRPr="00247002">
              <w:rPr>
                <w:b/>
                <w:bCs/>
              </w:rPr>
              <w:t>groups</w:t>
            </w:r>
            <w:proofErr w:type="spellEnd"/>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r w:rsidRPr="00247002">
              <w:t xml:space="preserve">&lt;60 </w:t>
            </w:r>
            <w:proofErr w:type="spellStart"/>
            <w:r w:rsidRPr="00247002">
              <w:t>years</w:t>
            </w:r>
            <w:proofErr w:type="spellEnd"/>
          </w:p>
        </w:tc>
        <w:tc>
          <w:tcPr>
            <w:tcW w:w="0" w:type="auto"/>
            <w:vAlign w:val="center"/>
            <w:hideMark/>
          </w:tcPr>
          <w:p w:rsidR="00247002" w:rsidRPr="00247002" w:rsidRDefault="00247002" w:rsidP="00247002">
            <w:r w:rsidRPr="00247002">
              <w:t>45,329 (12.87)</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60-69 </w:t>
            </w:r>
            <w:proofErr w:type="spellStart"/>
            <w:r w:rsidRPr="00247002">
              <w:t>years</w:t>
            </w:r>
            <w:proofErr w:type="spellEnd"/>
          </w:p>
        </w:tc>
        <w:tc>
          <w:tcPr>
            <w:tcW w:w="0" w:type="auto"/>
            <w:vAlign w:val="center"/>
            <w:hideMark/>
          </w:tcPr>
          <w:p w:rsidR="00247002" w:rsidRPr="00247002" w:rsidRDefault="00247002" w:rsidP="00247002">
            <w:r w:rsidRPr="00247002">
              <w:t>106,062 (30.11)</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70-79 </w:t>
            </w:r>
            <w:proofErr w:type="spellStart"/>
            <w:r w:rsidRPr="00247002">
              <w:t>years</w:t>
            </w:r>
            <w:proofErr w:type="spellEnd"/>
          </w:p>
        </w:tc>
        <w:tc>
          <w:tcPr>
            <w:tcW w:w="0" w:type="auto"/>
            <w:vAlign w:val="center"/>
            <w:hideMark/>
          </w:tcPr>
          <w:p w:rsidR="00247002" w:rsidRPr="00247002" w:rsidRDefault="00247002" w:rsidP="00247002">
            <w:r w:rsidRPr="00247002">
              <w:t>98,669 (28.01)</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80-89 </w:t>
            </w:r>
            <w:proofErr w:type="spellStart"/>
            <w:r w:rsidRPr="00247002">
              <w:t>years</w:t>
            </w:r>
            <w:proofErr w:type="spellEnd"/>
          </w:p>
        </w:tc>
        <w:tc>
          <w:tcPr>
            <w:tcW w:w="0" w:type="auto"/>
            <w:vAlign w:val="center"/>
            <w:hideMark/>
          </w:tcPr>
          <w:p w:rsidR="00247002" w:rsidRPr="00247002" w:rsidRDefault="00247002" w:rsidP="00247002">
            <w:r w:rsidRPr="00247002">
              <w:t>81,949 (23.26)</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≥90 </w:t>
            </w:r>
            <w:proofErr w:type="spellStart"/>
            <w:r w:rsidRPr="00247002">
              <w:t>years</w:t>
            </w:r>
            <w:proofErr w:type="spellEnd"/>
          </w:p>
        </w:tc>
        <w:tc>
          <w:tcPr>
            <w:tcW w:w="0" w:type="auto"/>
            <w:vAlign w:val="center"/>
            <w:hideMark/>
          </w:tcPr>
          <w:p w:rsidR="00247002" w:rsidRPr="00247002" w:rsidRDefault="00247002" w:rsidP="00247002">
            <w:r w:rsidRPr="00247002">
              <w:t>20,260 (5.75)</w:t>
            </w:r>
          </w:p>
        </w:tc>
      </w:tr>
      <w:tr w:rsidR="00247002" w:rsidRPr="00247002" w:rsidTr="00247002">
        <w:trPr>
          <w:tblCellSpacing w:w="15" w:type="dxa"/>
        </w:trPr>
        <w:tc>
          <w:tcPr>
            <w:tcW w:w="0" w:type="auto"/>
            <w:vAlign w:val="center"/>
            <w:hideMark/>
          </w:tcPr>
          <w:p w:rsidR="00247002" w:rsidRPr="00247002" w:rsidRDefault="00247002" w:rsidP="00247002">
            <w:r w:rsidRPr="00247002">
              <w:rPr>
                <w:b/>
                <w:bCs/>
              </w:rPr>
              <w:t>Sex</w:t>
            </w:r>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Female</w:t>
            </w:r>
            <w:proofErr w:type="spellEnd"/>
          </w:p>
        </w:tc>
        <w:tc>
          <w:tcPr>
            <w:tcW w:w="0" w:type="auto"/>
            <w:vAlign w:val="center"/>
            <w:hideMark/>
          </w:tcPr>
          <w:p w:rsidR="00247002" w:rsidRPr="00247002" w:rsidRDefault="00247002" w:rsidP="00247002">
            <w:r w:rsidRPr="00247002">
              <w:t>227,783 (64.66)</w:t>
            </w:r>
          </w:p>
        </w:tc>
      </w:tr>
      <w:tr w:rsidR="00247002" w:rsidRPr="00247002" w:rsidTr="00247002">
        <w:trPr>
          <w:tblCellSpacing w:w="15" w:type="dxa"/>
        </w:trPr>
        <w:tc>
          <w:tcPr>
            <w:tcW w:w="0" w:type="auto"/>
            <w:vAlign w:val="center"/>
            <w:hideMark/>
          </w:tcPr>
          <w:p w:rsidR="00247002" w:rsidRPr="00247002" w:rsidRDefault="00247002" w:rsidP="00247002">
            <w:r w:rsidRPr="00247002">
              <w:t>Male</w:t>
            </w:r>
          </w:p>
        </w:tc>
        <w:tc>
          <w:tcPr>
            <w:tcW w:w="0" w:type="auto"/>
            <w:vAlign w:val="center"/>
            <w:hideMark/>
          </w:tcPr>
          <w:p w:rsidR="00247002" w:rsidRPr="00247002" w:rsidRDefault="00247002" w:rsidP="00247002">
            <w:r w:rsidRPr="00247002">
              <w:t>124,486 (35.34)</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rPr>
                <w:b/>
                <w:bCs/>
              </w:rPr>
              <w:t>Fracture</w:t>
            </w:r>
            <w:proofErr w:type="spellEnd"/>
            <w:r w:rsidRPr="00247002">
              <w:rPr>
                <w:b/>
                <w:bCs/>
              </w:rPr>
              <w:t xml:space="preserve"> </w:t>
            </w:r>
            <w:proofErr w:type="spellStart"/>
            <w:r w:rsidRPr="00247002">
              <w:rPr>
                <w:b/>
                <w:bCs/>
              </w:rPr>
              <w:t>type</w:t>
            </w:r>
            <w:proofErr w:type="spellEnd"/>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r w:rsidRPr="00247002">
              <w:t xml:space="preserve">Proximal </w:t>
            </w:r>
            <w:proofErr w:type="spellStart"/>
            <w:r w:rsidRPr="00247002">
              <w:t>femur</w:t>
            </w:r>
            <w:proofErr w:type="spellEnd"/>
          </w:p>
        </w:tc>
        <w:tc>
          <w:tcPr>
            <w:tcW w:w="0" w:type="auto"/>
            <w:vAlign w:val="center"/>
            <w:hideMark/>
          </w:tcPr>
          <w:p w:rsidR="00247002" w:rsidRPr="00247002" w:rsidRDefault="00247002" w:rsidP="00247002">
            <w:r w:rsidRPr="00247002">
              <w:t>175,183 (49.73)</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Forearm</w:t>
            </w:r>
            <w:proofErr w:type="spellEnd"/>
            <w:r w:rsidRPr="00247002">
              <w:t>/</w:t>
            </w:r>
            <w:proofErr w:type="spellStart"/>
            <w:r w:rsidRPr="00247002">
              <w:t>wrist</w:t>
            </w:r>
            <w:proofErr w:type="spellEnd"/>
          </w:p>
        </w:tc>
        <w:tc>
          <w:tcPr>
            <w:tcW w:w="0" w:type="auto"/>
            <w:vAlign w:val="center"/>
            <w:hideMark/>
          </w:tcPr>
          <w:p w:rsidR="00247002" w:rsidRPr="00247002" w:rsidRDefault="00247002" w:rsidP="00247002">
            <w:r w:rsidRPr="00247002">
              <w:t>119,599 (33.95)</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Humerus</w:t>
            </w:r>
            <w:proofErr w:type="spellEnd"/>
          </w:p>
        </w:tc>
        <w:tc>
          <w:tcPr>
            <w:tcW w:w="0" w:type="auto"/>
            <w:vAlign w:val="center"/>
            <w:hideMark/>
          </w:tcPr>
          <w:p w:rsidR="00247002" w:rsidRPr="00247002" w:rsidRDefault="00247002" w:rsidP="00247002">
            <w:r w:rsidRPr="00247002">
              <w:t>46,348 (13.16)</w:t>
            </w:r>
          </w:p>
        </w:tc>
      </w:tr>
      <w:tr w:rsidR="00247002" w:rsidRPr="00247002" w:rsidTr="00247002">
        <w:trPr>
          <w:tblCellSpacing w:w="15" w:type="dxa"/>
        </w:trPr>
        <w:tc>
          <w:tcPr>
            <w:tcW w:w="0" w:type="auto"/>
            <w:vAlign w:val="center"/>
            <w:hideMark/>
          </w:tcPr>
          <w:p w:rsidR="00247002" w:rsidRPr="00247002" w:rsidRDefault="00247002" w:rsidP="00247002">
            <w:r w:rsidRPr="00247002">
              <w:t>Vertebra</w:t>
            </w:r>
          </w:p>
        </w:tc>
        <w:tc>
          <w:tcPr>
            <w:tcW w:w="0" w:type="auto"/>
            <w:vAlign w:val="center"/>
            <w:hideMark/>
          </w:tcPr>
          <w:p w:rsidR="00247002" w:rsidRPr="00247002" w:rsidRDefault="00247002" w:rsidP="00247002">
            <w:r w:rsidRPr="00247002">
              <w:t>7,673 (2.18)</w:t>
            </w:r>
          </w:p>
        </w:tc>
      </w:tr>
      <w:tr w:rsidR="00247002" w:rsidRPr="00247002" w:rsidTr="00247002">
        <w:trPr>
          <w:tblCellSpacing w:w="15" w:type="dxa"/>
        </w:trPr>
        <w:tc>
          <w:tcPr>
            <w:tcW w:w="0" w:type="auto"/>
            <w:vAlign w:val="center"/>
            <w:hideMark/>
          </w:tcPr>
          <w:p w:rsidR="00247002" w:rsidRPr="00247002" w:rsidRDefault="00247002" w:rsidP="00247002">
            <w:r w:rsidRPr="00247002">
              <w:t>Hip/</w:t>
            </w:r>
            <w:proofErr w:type="spellStart"/>
            <w:r w:rsidRPr="00247002">
              <w:t>pelvis</w:t>
            </w:r>
            <w:proofErr w:type="spellEnd"/>
          </w:p>
        </w:tc>
        <w:tc>
          <w:tcPr>
            <w:tcW w:w="0" w:type="auto"/>
            <w:vAlign w:val="center"/>
            <w:hideMark/>
          </w:tcPr>
          <w:p w:rsidR="00247002" w:rsidRPr="00247002" w:rsidRDefault="00247002" w:rsidP="00247002">
            <w:r w:rsidRPr="00247002">
              <w:t>3,466 (0.98)</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rPr>
                <w:b/>
                <w:bCs/>
              </w:rPr>
              <w:t>Year</w:t>
            </w:r>
            <w:proofErr w:type="spellEnd"/>
            <w:r w:rsidRPr="00247002">
              <w:rPr>
                <w:b/>
                <w:bCs/>
              </w:rPr>
              <w:t xml:space="preserve"> </w:t>
            </w:r>
            <w:proofErr w:type="spellStart"/>
            <w:r w:rsidRPr="00247002">
              <w:rPr>
                <w:b/>
                <w:bCs/>
              </w:rPr>
              <w:t>of</w:t>
            </w:r>
            <w:proofErr w:type="spellEnd"/>
            <w:r w:rsidRPr="00247002">
              <w:rPr>
                <w:b/>
                <w:bCs/>
              </w:rPr>
              <w:t xml:space="preserve"> </w:t>
            </w:r>
            <w:proofErr w:type="spellStart"/>
            <w:r w:rsidRPr="00247002">
              <w:rPr>
                <w:b/>
                <w:bCs/>
              </w:rPr>
              <w:t>hospitalization</w:t>
            </w:r>
            <w:proofErr w:type="spellEnd"/>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r w:rsidRPr="00247002">
              <w:t>2019</w:t>
            </w:r>
          </w:p>
        </w:tc>
        <w:tc>
          <w:tcPr>
            <w:tcW w:w="0" w:type="auto"/>
            <w:vAlign w:val="center"/>
            <w:hideMark/>
          </w:tcPr>
          <w:p w:rsidR="00247002" w:rsidRPr="00247002" w:rsidRDefault="00247002" w:rsidP="00247002">
            <w:r w:rsidRPr="00247002">
              <w:t>88,238 (25.05)</w:t>
            </w:r>
          </w:p>
        </w:tc>
      </w:tr>
      <w:tr w:rsidR="00247002" w:rsidRPr="00247002" w:rsidTr="00247002">
        <w:trPr>
          <w:tblCellSpacing w:w="15" w:type="dxa"/>
        </w:trPr>
        <w:tc>
          <w:tcPr>
            <w:tcW w:w="0" w:type="auto"/>
            <w:vAlign w:val="center"/>
            <w:hideMark/>
          </w:tcPr>
          <w:p w:rsidR="00247002" w:rsidRPr="00247002" w:rsidRDefault="00247002" w:rsidP="00247002">
            <w:r w:rsidRPr="00247002">
              <w:t>2020</w:t>
            </w:r>
          </w:p>
        </w:tc>
        <w:tc>
          <w:tcPr>
            <w:tcW w:w="0" w:type="auto"/>
            <w:vAlign w:val="center"/>
            <w:hideMark/>
          </w:tcPr>
          <w:p w:rsidR="00247002" w:rsidRPr="00247002" w:rsidRDefault="00247002" w:rsidP="00247002">
            <w:r w:rsidRPr="00247002">
              <w:t>88,095 (25.01)</w:t>
            </w:r>
          </w:p>
        </w:tc>
      </w:tr>
      <w:tr w:rsidR="00247002" w:rsidRPr="00247002" w:rsidTr="00247002">
        <w:trPr>
          <w:tblCellSpacing w:w="15" w:type="dxa"/>
        </w:trPr>
        <w:tc>
          <w:tcPr>
            <w:tcW w:w="0" w:type="auto"/>
            <w:vAlign w:val="center"/>
            <w:hideMark/>
          </w:tcPr>
          <w:p w:rsidR="00247002" w:rsidRPr="00247002" w:rsidRDefault="00247002" w:rsidP="00247002">
            <w:r w:rsidRPr="00247002">
              <w:t>2021</w:t>
            </w:r>
          </w:p>
        </w:tc>
        <w:tc>
          <w:tcPr>
            <w:tcW w:w="0" w:type="auto"/>
            <w:vAlign w:val="center"/>
            <w:hideMark/>
          </w:tcPr>
          <w:p w:rsidR="00247002" w:rsidRPr="00247002" w:rsidRDefault="00247002" w:rsidP="00247002">
            <w:r w:rsidRPr="00247002">
              <w:t>87,877 (24.95)</w:t>
            </w:r>
          </w:p>
        </w:tc>
      </w:tr>
      <w:tr w:rsidR="00247002" w:rsidRPr="00247002" w:rsidTr="00247002">
        <w:trPr>
          <w:tblCellSpacing w:w="15" w:type="dxa"/>
        </w:trPr>
        <w:tc>
          <w:tcPr>
            <w:tcW w:w="0" w:type="auto"/>
            <w:vAlign w:val="center"/>
            <w:hideMark/>
          </w:tcPr>
          <w:p w:rsidR="00247002" w:rsidRPr="00247002" w:rsidRDefault="00247002" w:rsidP="00247002">
            <w:r w:rsidRPr="00247002">
              <w:t>2023</w:t>
            </w:r>
          </w:p>
        </w:tc>
        <w:tc>
          <w:tcPr>
            <w:tcW w:w="0" w:type="auto"/>
            <w:vAlign w:val="center"/>
            <w:hideMark/>
          </w:tcPr>
          <w:p w:rsidR="00247002" w:rsidRPr="00247002" w:rsidRDefault="00247002" w:rsidP="00247002">
            <w:r w:rsidRPr="00247002">
              <w:t>88,059 (25.00)</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rPr>
                <w:b/>
                <w:bCs/>
              </w:rPr>
              <w:t>Osteoporosis</w:t>
            </w:r>
            <w:proofErr w:type="spellEnd"/>
            <w:r w:rsidRPr="00247002">
              <w:rPr>
                <w:b/>
                <w:bCs/>
              </w:rPr>
              <w:t xml:space="preserve"> </w:t>
            </w:r>
            <w:proofErr w:type="spellStart"/>
            <w:r w:rsidRPr="00247002">
              <w:rPr>
                <w:b/>
                <w:bCs/>
              </w:rPr>
              <w:t>diagnosis</w:t>
            </w:r>
            <w:proofErr w:type="spellEnd"/>
          </w:p>
        </w:tc>
        <w:tc>
          <w:tcPr>
            <w:tcW w:w="0" w:type="auto"/>
            <w:vAlign w:val="center"/>
            <w:hideMark/>
          </w:tcPr>
          <w:p w:rsidR="00247002" w:rsidRPr="00247002" w:rsidRDefault="00247002" w:rsidP="00247002">
            <w:r w:rsidRPr="00247002">
              <w:t>117 (0.03)</w:t>
            </w:r>
          </w:p>
        </w:tc>
      </w:tr>
    </w:tbl>
    <w:p w:rsidR="00247002" w:rsidRPr="00247002" w:rsidRDefault="00247002" w:rsidP="00247002">
      <w:pPr>
        <w:spacing w:before="100" w:beforeAutospacing="1" w:after="100" w:afterAutospacing="1"/>
        <w:outlineLvl w:val="2"/>
        <w:rPr>
          <w:b/>
          <w:bCs/>
          <w:sz w:val="27"/>
          <w:szCs w:val="27"/>
        </w:rPr>
      </w:pPr>
      <w:proofErr w:type="spellStart"/>
      <w:r w:rsidRPr="00247002">
        <w:rPr>
          <w:b/>
          <w:bCs/>
          <w:sz w:val="27"/>
          <w:szCs w:val="27"/>
        </w:rPr>
        <w:t>Mortality</w:t>
      </w:r>
      <w:proofErr w:type="spellEnd"/>
      <w:r w:rsidRPr="00247002">
        <w:rPr>
          <w:b/>
          <w:bCs/>
          <w:sz w:val="27"/>
          <w:szCs w:val="27"/>
        </w:rPr>
        <w:t xml:space="preserve"> </w:t>
      </w:r>
      <w:proofErr w:type="spellStart"/>
      <w:r w:rsidRPr="00247002">
        <w:rPr>
          <w:b/>
          <w:bCs/>
          <w:sz w:val="27"/>
          <w:szCs w:val="27"/>
        </w:rPr>
        <w:t>Outcomes</w:t>
      </w:r>
      <w:proofErr w:type="spellEnd"/>
    </w:p>
    <w:p w:rsidR="00247002" w:rsidRPr="00247002" w:rsidRDefault="00247002" w:rsidP="00247002">
      <w:pPr>
        <w:spacing w:before="100" w:beforeAutospacing="1" w:after="100" w:afterAutospacing="1"/>
        <w:rPr>
          <w:lang w:val="en-US"/>
        </w:rPr>
      </w:pPr>
      <w:r w:rsidRPr="00247002">
        <w:rPr>
          <w:lang w:val="en-US"/>
        </w:rPr>
        <w:t xml:space="preserve">Overall in-hospital mortality was 2.66% (9,364 deaths). Table 2 shows mortality rates stratified by fracture type and demographic </w:t>
      </w:r>
      <w:proofErr w:type="spellStart"/>
      <w:proofErr w:type="gramStart"/>
      <w:r w:rsidRPr="00247002">
        <w:rPr>
          <w:lang w:val="en-US"/>
        </w:rPr>
        <w:t>characteristics.Mortality</w:t>
      </w:r>
      <w:proofErr w:type="spellEnd"/>
      <w:proofErr w:type="gramEnd"/>
      <w:r w:rsidRPr="00247002">
        <w:rPr>
          <w:lang w:val="en-US"/>
        </w:rPr>
        <w:t xml:space="preserve"> increased progressively with age, from 0.82% in patients below 60 years to 7.05% in those 90 years and older.</w:t>
      </w:r>
    </w:p>
    <w:p w:rsidR="00247002" w:rsidRPr="00247002" w:rsidRDefault="00247002" w:rsidP="00247002">
      <w:pPr>
        <w:spacing w:before="100" w:beforeAutospacing="1" w:after="100" w:afterAutospacing="1"/>
        <w:rPr>
          <w:lang w:val="en-US"/>
        </w:rPr>
      </w:pPr>
      <w:r w:rsidRPr="00247002">
        <w:rPr>
          <w:b/>
          <w:bCs/>
          <w:lang w:val="en-US"/>
        </w:rPr>
        <w:lastRenderedPageBreak/>
        <w:t>Table 2</w:t>
      </w:r>
      <w:r w:rsidR="00AB2F9C">
        <w:rPr>
          <w:lang w:val="en-US"/>
        </w:rPr>
        <w:t xml:space="preserve">: </w:t>
      </w:r>
      <w:r w:rsidR="00AB2F9C" w:rsidRPr="00AB2F9C">
        <w:rPr>
          <w:b/>
          <w:bCs/>
          <w:lang w:val="en-US"/>
        </w:rPr>
        <w:t>Descriptive Analysis of In-Hospital Mortality by Fracture Type.</w:t>
      </w:r>
    </w:p>
    <w:tbl>
      <w:tblPr>
        <w:tblW w:w="0" w:type="dxa"/>
        <w:tblCellMar>
          <w:left w:w="0" w:type="dxa"/>
          <w:right w:w="0" w:type="dxa"/>
        </w:tblCellMar>
        <w:tblLook w:val="04A0" w:firstRow="1" w:lastRow="0" w:firstColumn="1" w:lastColumn="0" w:noHBand="0" w:noVBand="1"/>
      </w:tblPr>
      <w:tblGrid>
        <w:gridCol w:w="1502"/>
        <w:gridCol w:w="1491"/>
        <w:gridCol w:w="1024"/>
        <w:gridCol w:w="1601"/>
      </w:tblGrid>
      <w:tr w:rsidR="00AB2F9C" w:rsidTr="00AB2F9C">
        <w:trPr>
          <w:trHeight w:val="315"/>
        </w:trPr>
        <w:tc>
          <w:tcPr>
            <w:tcW w:w="0" w:type="auto"/>
            <w:tcMar>
              <w:top w:w="30" w:type="dxa"/>
              <w:left w:w="45" w:type="dxa"/>
              <w:bottom w:w="30" w:type="dxa"/>
              <w:right w:w="45" w:type="dxa"/>
            </w:tcMar>
            <w:vAlign w:val="bottom"/>
            <w:hideMark/>
          </w:tcPr>
          <w:p w:rsidR="00AB2F9C" w:rsidRDefault="00AB2F9C">
            <w:pPr>
              <w:rPr>
                <w:rFonts w:ascii="Arial" w:hAnsi="Arial" w:cs="Arial"/>
                <w:sz w:val="20"/>
                <w:szCs w:val="20"/>
              </w:rPr>
            </w:pPr>
            <w:proofErr w:type="spellStart"/>
            <w:r>
              <w:rPr>
                <w:rFonts w:ascii="Arial" w:hAnsi="Arial" w:cs="Arial"/>
                <w:sz w:val="20"/>
                <w:szCs w:val="20"/>
              </w:rPr>
              <w:t>Fracture</w:t>
            </w:r>
            <w:proofErr w:type="spellEnd"/>
            <w:r>
              <w:rPr>
                <w:rFonts w:ascii="Arial" w:hAnsi="Arial" w:cs="Arial"/>
                <w:sz w:val="20"/>
                <w:szCs w:val="20"/>
              </w:rPr>
              <w:t xml:space="preserve"> </w:t>
            </w:r>
            <w:proofErr w:type="spellStart"/>
            <w:r>
              <w:rPr>
                <w:rFonts w:ascii="Arial" w:hAnsi="Arial" w:cs="Arial"/>
                <w:sz w:val="20"/>
                <w:szCs w:val="20"/>
              </w:rPr>
              <w:t>Type</w:t>
            </w:r>
            <w:proofErr w:type="spellEnd"/>
          </w:p>
        </w:tc>
        <w:tc>
          <w:tcPr>
            <w:tcW w:w="0" w:type="auto"/>
            <w:tcMar>
              <w:top w:w="30" w:type="dxa"/>
              <w:left w:w="45" w:type="dxa"/>
              <w:bottom w:w="30" w:type="dxa"/>
              <w:right w:w="45" w:type="dxa"/>
            </w:tcMar>
            <w:vAlign w:val="bottom"/>
            <w:hideMark/>
          </w:tcPr>
          <w:p w:rsidR="00AB2F9C" w:rsidRDefault="00AB2F9C">
            <w:pPr>
              <w:rPr>
                <w:rFonts w:ascii="Arial" w:hAnsi="Arial" w:cs="Arial"/>
                <w:sz w:val="20"/>
                <w:szCs w:val="20"/>
              </w:rPr>
            </w:pPr>
            <w:r>
              <w:rPr>
                <w:rFonts w:ascii="Arial" w:hAnsi="Arial" w:cs="Arial"/>
                <w:sz w:val="20"/>
                <w:szCs w:val="20"/>
              </w:rPr>
              <w:t>Total Cases (N)</w:t>
            </w:r>
          </w:p>
        </w:tc>
        <w:tc>
          <w:tcPr>
            <w:tcW w:w="0" w:type="auto"/>
            <w:tcMar>
              <w:top w:w="30" w:type="dxa"/>
              <w:left w:w="45" w:type="dxa"/>
              <w:bottom w:w="30" w:type="dxa"/>
              <w:right w:w="45" w:type="dxa"/>
            </w:tcMar>
            <w:vAlign w:val="bottom"/>
            <w:hideMark/>
          </w:tcPr>
          <w:p w:rsidR="00AB2F9C" w:rsidRDefault="00AB2F9C">
            <w:pPr>
              <w:rPr>
                <w:rFonts w:ascii="Arial" w:hAnsi="Arial" w:cs="Arial"/>
                <w:sz w:val="20"/>
                <w:szCs w:val="20"/>
              </w:rPr>
            </w:pPr>
            <w:proofErr w:type="spellStart"/>
            <w:r>
              <w:rPr>
                <w:rFonts w:ascii="Arial" w:hAnsi="Arial" w:cs="Arial"/>
                <w:sz w:val="20"/>
                <w:szCs w:val="20"/>
              </w:rPr>
              <w:t>Deaths</w:t>
            </w:r>
            <w:proofErr w:type="spellEnd"/>
            <w:r>
              <w:rPr>
                <w:rFonts w:ascii="Arial" w:hAnsi="Arial" w:cs="Arial"/>
                <w:sz w:val="20"/>
                <w:szCs w:val="20"/>
              </w:rPr>
              <w:t xml:space="preserve"> (n)</w:t>
            </w:r>
          </w:p>
        </w:tc>
        <w:tc>
          <w:tcPr>
            <w:tcW w:w="0" w:type="auto"/>
            <w:tcMar>
              <w:top w:w="30" w:type="dxa"/>
              <w:left w:w="0" w:type="dxa"/>
              <w:bottom w:w="30" w:type="dxa"/>
              <w:right w:w="0" w:type="dxa"/>
            </w:tcMar>
            <w:vAlign w:val="bottom"/>
            <w:hideMark/>
          </w:tcPr>
          <w:p w:rsidR="00AB2F9C" w:rsidRDefault="00AB2F9C" w:rsidP="00AB2F9C">
            <w:pPr>
              <w:rPr>
                <w:rFonts w:ascii="Arial" w:hAnsi="Arial" w:cs="Arial"/>
                <w:sz w:val="20"/>
                <w:szCs w:val="20"/>
              </w:rPr>
            </w:pPr>
            <w:proofErr w:type="spellStart"/>
            <w:r>
              <w:rPr>
                <w:rFonts w:ascii="Arial" w:hAnsi="Arial" w:cs="Arial"/>
                <w:sz w:val="20"/>
                <w:szCs w:val="20"/>
              </w:rPr>
              <w:t>Mortality</w:t>
            </w:r>
            <w:proofErr w:type="spellEnd"/>
            <w:r>
              <w:rPr>
                <w:rFonts w:ascii="Arial" w:hAnsi="Arial" w:cs="Arial"/>
                <w:sz w:val="20"/>
                <w:szCs w:val="20"/>
              </w:rPr>
              <w:t xml:space="preserve"> Rate (%)</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 xml:space="preserve">Proximal </w:t>
            </w:r>
            <w:proofErr w:type="spellStart"/>
            <w:r>
              <w:rPr>
                <w:rFonts w:ascii="Arial" w:hAnsi="Arial" w:cs="Arial"/>
                <w:sz w:val="20"/>
                <w:szCs w:val="20"/>
              </w:rPr>
              <w:t>Femur</w:t>
            </w:r>
            <w:proofErr w:type="spellEnd"/>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175,191</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8,697</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4.96%</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proofErr w:type="spellStart"/>
            <w:r>
              <w:rPr>
                <w:rFonts w:ascii="Arial" w:hAnsi="Arial" w:cs="Arial"/>
                <w:sz w:val="20"/>
                <w:szCs w:val="20"/>
              </w:rPr>
              <w:t>Humerus</w:t>
            </w:r>
            <w:proofErr w:type="spellEnd"/>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35,227</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345</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0.98%</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Vertebra</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17,271</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178</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1.03%</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proofErr w:type="spellStart"/>
            <w:r>
              <w:rPr>
                <w:rFonts w:ascii="Arial" w:hAnsi="Arial" w:cs="Arial"/>
                <w:sz w:val="20"/>
                <w:szCs w:val="20"/>
              </w:rPr>
              <w:t>Pelvis</w:t>
            </w:r>
            <w:proofErr w:type="spellEnd"/>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4,966</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136</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2.74%</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proofErr w:type="spellStart"/>
            <w:r>
              <w:rPr>
                <w:rFonts w:ascii="Arial" w:hAnsi="Arial" w:cs="Arial"/>
                <w:sz w:val="20"/>
                <w:szCs w:val="20"/>
              </w:rPr>
              <w:t>Forearm</w:t>
            </w:r>
            <w:proofErr w:type="spellEnd"/>
            <w:r>
              <w:rPr>
                <w:rFonts w:ascii="Arial" w:hAnsi="Arial" w:cs="Arial"/>
                <w:sz w:val="20"/>
                <w:szCs w:val="20"/>
              </w:rPr>
              <w:t>/</w:t>
            </w:r>
            <w:proofErr w:type="spellStart"/>
            <w:r>
              <w:rPr>
                <w:rFonts w:ascii="Arial" w:hAnsi="Arial" w:cs="Arial"/>
                <w:sz w:val="20"/>
                <w:szCs w:val="20"/>
              </w:rPr>
              <w:t>Wrist</w:t>
            </w:r>
            <w:proofErr w:type="spellEnd"/>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119,614</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142</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0.12%</w:t>
            </w:r>
          </w:p>
        </w:tc>
      </w:tr>
      <w:tr w:rsidR="00AB2F9C" w:rsidTr="00AB2F9C">
        <w:trPr>
          <w:trHeight w:val="315"/>
        </w:trPr>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 xml:space="preserve">Total </w:t>
            </w:r>
            <w:proofErr w:type="spellStart"/>
            <w:r>
              <w:rPr>
                <w:rFonts w:ascii="Arial" w:hAnsi="Arial" w:cs="Arial"/>
                <w:sz w:val="20"/>
                <w:szCs w:val="20"/>
              </w:rPr>
              <w:t>Cohort</w:t>
            </w:r>
            <w:proofErr w:type="spellEnd"/>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352,269</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9,498</w:t>
            </w:r>
          </w:p>
        </w:tc>
        <w:tc>
          <w:tcPr>
            <w:tcW w:w="0" w:type="auto"/>
            <w:tcMar>
              <w:top w:w="30" w:type="dxa"/>
              <w:left w:w="45" w:type="dxa"/>
              <w:bottom w:w="30" w:type="dxa"/>
              <w:right w:w="45" w:type="dxa"/>
            </w:tcMar>
            <w:vAlign w:val="bottom"/>
            <w:hideMark/>
          </w:tcPr>
          <w:p w:rsidR="00AB2F9C" w:rsidRDefault="00AB2F9C" w:rsidP="00AB2F9C">
            <w:pPr>
              <w:jc w:val="center"/>
              <w:rPr>
                <w:rFonts w:ascii="Arial" w:hAnsi="Arial" w:cs="Arial"/>
                <w:sz w:val="20"/>
                <w:szCs w:val="20"/>
              </w:rPr>
            </w:pPr>
            <w:r>
              <w:rPr>
                <w:rFonts w:ascii="Arial" w:hAnsi="Arial" w:cs="Arial"/>
                <w:sz w:val="20"/>
                <w:szCs w:val="20"/>
              </w:rPr>
              <w:t>2.69%</w:t>
            </w:r>
          </w:p>
        </w:tc>
      </w:tr>
    </w:tbl>
    <w:p w:rsidR="00AB2F9C" w:rsidRDefault="00AB2F9C" w:rsidP="00247002">
      <w:pPr>
        <w:spacing w:before="100" w:beforeAutospacing="1" w:after="100" w:afterAutospacing="1"/>
        <w:rPr>
          <w:lang w:val="en-US"/>
        </w:rPr>
      </w:pPr>
    </w:p>
    <w:p w:rsidR="00AB2F9C" w:rsidRDefault="00AB2F9C" w:rsidP="00247002">
      <w:pPr>
        <w:spacing w:before="100" w:beforeAutospacing="1" w:after="100" w:afterAutospacing="1"/>
        <w:rPr>
          <w:lang w:val="en-US"/>
        </w:rPr>
      </w:pPr>
      <w:r w:rsidRPr="00AB2F9C">
        <w:rPr>
          <w:lang w:val="en-US"/>
        </w:rPr>
        <w:t>The differences in mortality rates among the various fracture types were statistically significant (Chi-square test for independence, p &lt; 0.001).</w:t>
      </w:r>
    </w:p>
    <w:p w:rsidR="00AB2F9C" w:rsidRDefault="00AB2F9C" w:rsidP="00247002">
      <w:pPr>
        <w:spacing w:before="100" w:beforeAutospacing="1" w:after="100" w:afterAutospacing="1"/>
        <w:rPr>
          <w:lang w:val="en-US"/>
        </w:rPr>
      </w:pPr>
    </w:p>
    <w:p w:rsidR="00247002" w:rsidRPr="00247002" w:rsidRDefault="00247002" w:rsidP="00247002">
      <w:pPr>
        <w:spacing w:before="100" w:beforeAutospacing="1" w:after="100" w:afterAutospacing="1"/>
        <w:rPr>
          <w:lang w:val="en-US"/>
        </w:rPr>
      </w:pPr>
      <w:r w:rsidRPr="00247002">
        <w:rPr>
          <w:lang w:val="en-US"/>
        </w:rPr>
        <w:t xml:space="preserve">[INSERT FIGURE 1 HERE: Forest plot showing mortality rates by fracture type with 95% confidence intervals. The plot should display each fracture type on the y-axis with corresponding </w:t>
      </w:r>
      <w:bookmarkStart w:id="0" w:name="_GoBack"/>
      <w:bookmarkEnd w:id="0"/>
      <w:r w:rsidRPr="00247002">
        <w:rPr>
          <w:lang w:val="en-US"/>
        </w:rPr>
        <w:t>mortality rates and confidence intervals on the x-axis, ordered from highest to lowest mortality.]</w:t>
      </w:r>
    </w:p>
    <w:p w:rsidR="00247002" w:rsidRPr="00247002" w:rsidRDefault="00247002" w:rsidP="00247002">
      <w:pPr>
        <w:spacing w:before="100" w:beforeAutospacing="1" w:after="100" w:afterAutospacing="1"/>
        <w:outlineLvl w:val="2"/>
        <w:rPr>
          <w:b/>
          <w:bCs/>
          <w:sz w:val="27"/>
          <w:szCs w:val="27"/>
        </w:rPr>
      </w:pPr>
      <w:proofErr w:type="spellStart"/>
      <w:r w:rsidRPr="00247002">
        <w:rPr>
          <w:b/>
          <w:bCs/>
          <w:sz w:val="27"/>
          <w:szCs w:val="27"/>
        </w:rPr>
        <w:t>Healthcare</w:t>
      </w:r>
      <w:proofErr w:type="spellEnd"/>
      <w:r w:rsidRPr="00247002">
        <w:rPr>
          <w:b/>
          <w:bCs/>
          <w:sz w:val="27"/>
          <w:szCs w:val="27"/>
        </w:rPr>
        <w:t xml:space="preserve"> </w:t>
      </w:r>
      <w:proofErr w:type="spellStart"/>
      <w:r w:rsidRPr="00247002">
        <w:rPr>
          <w:b/>
          <w:bCs/>
          <w:sz w:val="27"/>
          <w:szCs w:val="27"/>
        </w:rPr>
        <w:t>Resource</w:t>
      </w:r>
      <w:proofErr w:type="spellEnd"/>
      <w:r w:rsidRPr="00247002">
        <w:rPr>
          <w:b/>
          <w:bCs/>
          <w:sz w:val="27"/>
          <w:szCs w:val="27"/>
        </w:rPr>
        <w:t xml:space="preserve"> </w:t>
      </w:r>
      <w:proofErr w:type="spellStart"/>
      <w:r w:rsidRPr="00247002">
        <w:rPr>
          <w:b/>
          <w:bCs/>
          <w:sz w:val="27"/>
          <w:szCs w:val="27"/>
        </w:rPr>
        <w:t>Utilization</w:t>
      </w:r>
      <w:proofErr w:type="spellEnd"/>
    </w:p>
    <w:p w:rsidR="00247002" w:rsidRPr="00247002" w:rsidRDefault="00247002" w:rsidP="00247002">
      <w:pPr>
        <w:spacing w:before="100" w:beforeAutospacing="1" w:after="100" w:afterAutospacing="1"/>
        <w:rPr>
          <w:lang w:val="en-US"/>
        </w:rPr>
      </w:pPr>
      <w:r w:rsidRPr="00247002">
        <w:rPr>
          <w:lang w:val="en-US"/>
        </w:rPr>
        <w:t>Table 3 presents hospitalization costs and length of stay stratified by survival status and fracture type. Patients who died had significantly higher median costs (R$1,876.18 vs R$1,045.18, p&lt;0.0001) and longer median length of stay (6 vs 4 days, p&lt;0.0001) compared to survivors.</w:t>
      </w:r>
    </w:p>
    <w:p w:rsidR="00247002" w:rsidRPr="00247002" w:rsidRDefault="00247002" w:rsidP="00247002">
      <w:pPr>
        <w:spacing w:before="100" w:beforeAutospacing="1" w:after="100" w:afterAutospacing="1"/>
        <w:rPr>
          <w:lang w:val="en-US"/>
        </w:rPr>
      </w:pPr>
      <w:r w:rsidRPr="00247002">
        <w:rPr>
          <w:b/>
          <w:bCs/>
          <w:lang w:val="en-US"/>
        </w:rPr>
        <w:t>Table 3: Healthcare Costs and Length of Stay by Survival Status and Fracture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gridCol w:w="2275"/>
        <w:gridCol w:w="2408"/>
        <w:gridCol w:w="871"/>
      </w:tblGrid>
      <w:tr w:rsidR="00247002" w:rsidRPr="00247002" w:rsidTr="00247002">
        <w:trPr>
          <w:tblHeader/>
          <w:tblCellSpacing w:w="15" w:type="dxa"/>
        </w:trPr>
        <w:tc>
          <w:tcPr>
            <w:tcW w:w="0" w:type="auto"/>
            <w:vAlign w:val="center"/>
            <w:hideMark/>
          </w:tcPr>
          <w:p w:rsidR="00247002" w:rsidRPr="00247002" w:rsidRDefault="00247002" w:rsidP="00247002">
            <w:pPr>
              <w:jc w:val="center"/>
              <w:rPr>
                <w:b/>
                <w:bCs/>
              </w:rPr>
            </w:pPr>
            <w:proofErr w:type="spellStart"/>
            <w:r w:rsidRPr="00247002">
              <w:rPr>
                <w:b/>
                <w:bCs/>
              </w:rPr>
              <w:t>Variable</w:t>
            </w:r>
            <w:proofErr w:type="spellEnd"/>
          </w:p>
        </w:tc>
        <w:tc>
          <w:tcPr>
            <w:tcW w:w="0" w:type="auto"/>
            <w:vAlign w:val="center"/>
            <w:hideMark/>
          </w:tcPr>
          <w:p w:rsidR="00247002" w:rsidRPr="00247002" w:rsidRDefault="00247002" w:rsidP="00247002">
            <w:pPr>
              <w:jc w:val="center"/>
              <w:rPr>
                <w:b/>
                <w:bCs/>
              </w:rPr>
            </w:pPr>
            <w:proofErr w:type="spellStart"/>
            <w:r w:rsidRPr="00247002">
              <w:rPr>
                <w:b/>
                <w:bCs/>
              </w:rPr>
              <w:t>Survivors</w:t>
            </w:r>
            <w:proofErr w:type="spellEnd"/>
          </w:p>
        </w:tc>
        <w:tc>
          <w:tcPr>
            <w:tcW w:w="0" w:type="auto"/>
            <w:vAlign w:val="center"/>
            <w:hideMark/>
          </w:tcPr>
          <w:p w:rsidR="00247002" w:rsidRPr="00247002" w:rsidRDefault="00247002" w:rsidP="00247002">
            <w:pPr>
              <w:jc w:val="center"/>
              <w:rPr>
                <w:b/>
                <w:bCs/>
              </w:rPr>
            </w:pPr>
            <w:r w:rsidRPr="00247002">
              <w:rPr>
                <w:b/>
                <w:bCs/>
              </w:rPr>
              <w:t>Non-</w:t>
            </w:r>
            <w:proofErr w:type="spellStart"/>
            <w:r w:rsidRPr="00247002">
              <w:rPr>
                <w:b/>
                <w:bCs/>
              </w:rPr>
              <w:t>survivors</w:t>
            </w:r>
            <w:proofErr w:type="spellEnd"/>
          </w:p>
        </w:tc>
        <w:tc>
          <w:tcPr>
            <w:tcW w:w="0" w:type="auto"/>
            <w:vAlign w:val="center"/>
            <w:hideMark/>
          </w:tcPr>
          <w:p w:rsidR="00247002" w:rsidRPr="00247002" w:rsidRDefault="00247002" w:rsidP="00247002">
            <w:pPr>
              <w:jc w:val="center"/>
              <w:rPr>
                <w:b/>
                <w:bCs/>
              </w:rPr>
            </w:pPr>
            <w:r w:rsidRPr="00247002">
              <w:rPr>
                <w:b/>
                <w:bCs/>
              </w:rPr>
              <w:t>P-</w:t>
            </w:r>
            <w:proofErr w:type="spellStart"/>
            <w:proofErr w:type="gramStart"/>
            <w:r w:rsidRPr="00247002">
              <w:rPr>
                <w:b/>
                <w:bCs/>
              </w:rPr>
              <w:t>value</w:t>
            </w:r>
            <w:proofErr w:type="spellEnd"/>
            <w:proofErr w:type="gramEnd"/>
          </w:p>
        </w:tc>
      </w:tr>
      <w:tr w:rsidR="00247002" w:rsidRPr="00247002" w:rsidTr="00247002">
        <w:trPr>
          <w:tblCellSpacing w:w="15" w:type="dxa"/>
        </w:trPr>
        <w:tc>
          <w:tcPr>
            <w:tcW w:w="0" w:type="auto"/>
            <w:vAlign w:val="center"/>
            <w:hideMark/>
          </w:tcPr>
          <w:p w:rsidR="00247002" w:rsidRPr="00247002" w:rsidRDefault="00247002" w:rsidP="00247002">
            <w:r w:rsidRPr="00247002">
              <w:rPr>
                <w:b/>
                <w:bCs/>
              </w:rPr>
              <w:t xml:space="preserve">Overall </w:t>
            </w:r>
            <w:proofErr w:type="spellStart"/>
            <w:r w:rsidRPr="00247002">
              <w:rPr>
                <w:b/>
                <w:bCs/>
              </w:rPr>
              <w:t>cohort</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Hospitalization</w:t>
            </w:r>
            <w:proofErr w:type="spellEnd"/>
            <w:r w:rsidRPr="00247002">
              <w:t xml:space="preserve"> </w:t>
            </w:r>
            <w:proofErr w:type="spellStart"/>
            <w:r w:rsidRPr="00247002">
              <w:t>cost</w:t>
            </w:r>
            <w:proofErr w:type="spellEnd"/>
            <w:r w:rsidRPr="00247002">
              <w:t>, R$</w:t>
            </w:r>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Median</w:t>
            </w:r>
            <w:proofErr w:type="spellEnd"/>
            <w:r w:rsidRPr="00247002">
              <w:t xml:space="preserve"> (IQR)</w:t>
            </w:r>
          </w:p>
        </w:tc>
        <w:tc>
          <w:tcPr>
            <w:tcW w:w="0" w:type="auto"/>
            <w:vAlign w:val="center"/>
            <w:hideMark/>
          </w:tcPr>
          <w:p w:rsidR="00247002" w:rsidRPr="00247002" w:rsidRDefault="00247002" w:rsidP="00247002">
            <w:r w:rsidRPr="00247002">
              <w:t>1,045.18 (680.07-1,740.70)</w:t>
            </w:r>
          </w:p>
        </w:tc>
        <w:tc>
          <w:tcPr>
            <w:tcW w:w="0" w:type="auto"/>
            <w:vAlign w:val="center"/>
            <w:hideMark/>
          </w:tcPr>
          <w:p w:rsidR="00247002" w:rsidRPr="00247002" w:rsidRDefault="00247002" w:rsidP="00247002">
            <w:r w:rsidRPr="00247002">
              <w:t>1,876.18 (1,051.91-3,447.70)</w:t>
            </w:r>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Mean</w:t>
            </w:r>
            <w:proofErr w:type="spellEnd"/>
            <w:r w:rsidRPr="00247002">
              <w:t xml:space="preserve"> ± SD</w:t>
            </w:r>
          </w:p>
        </w:tc>
        <w:tc>
          <w:tcPr>
            <w:tcW w:w="0" w:type="auto"/>
            <w:vAlign w:val="center"/>
            <w:hideMark/>
          </w:tcPr>
          <w:p w:rsidR="00247002" w:rsidRPr="00247002" w:rsidRDefault="00247002" w:rsidP="00247002">
            <w:r w:rsidRPr="00247002">
              <w:t>1,809.50 ± 2,241.01</w:t>
            </w:r>
          </w:p>
        </w:tc>
        <w:tc>
          <w:tcPr>
            <w:tcW w:w="0" w:type="auto"/>
            <w:vAlign w:val="center"/>
            <w:hideMark/>
          </w:tcPr>
          <w:p w:rsidR="00247002" w:rsidRPr="00247002" w:rsidRDefault="00247002" w:rsidP="00247002">
            <w:r w:rsidRPr="00247002">
              <w:t>3,606.60 ± 4,590.85</w:t>
            </w:r>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Median</w:t>
            </w:r>
            <w:proofErr w:type="spellEnd"/>
            <w:r w:rsidRPr="00247002">
              <w:t xml:space="preserve"> (IQR)</w:t>
            </w:r>
          </w:p>
        </w:tc>
        <w:tc>
          <w:tcPr>
            <w:tcW w:w="0" w:type="auto"/>
            <w:vAlign w:val="center"/>
            <w:hideMark/>
          </w:tcPr>
          <w:p w:rsidR="00247002" w:rsidRPr="00247002" w:rsidRDefault="00247002" w:rsidP="00247002">
            <w:r w:rsidRPr="00247002">
              <w:t>4 (2-7)</w:t>
            </w:r>
          </w:p>
        </w:tc>
        <w:tc>
          <w:tcPr>
            <w:tcW w:w="0" w:type="auto"/>
            <w:vAlign w:val="center"/>
            <w:hideMark/>
          </w:tcPr>
          <w:p w:rsidR="00247002" w:rsidRPr="00247002" w:rsidRDefault="00247002" w:rsidP="00247002">
            <w:r w:rsidRPr="00247002">
              <w:t>6 (3-12)</w:t>
            </w:r>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Mean</w:t>
            </w:r>
            <w:proofErr w:type="spellEnd"/>
            <w:r w:rsidRPr="00247002">
              <w:t xml:space="preserve"> ± SD</w:t>
            </w:r>
          </w:p>
        </w:tc>
        <w:tc>
          <w:tcPr>
            <w:tcW w:w="0" w:type="auto"/>
            <w:vAlign w:val="center"/>
            <w:hideMark/>
          </w:tcPr>
          <w:p w:rsidR="00247002" w:rsidRPr="00247002" w:rsidRDefault="00247002" w:rsidP="00247002">
            <w:r w:rsidRPr="00247002">
              <w:t>5.61 ± 7.49</w:t>
            </w:r>
          </w:p>
        </w:tc>
        <w:tc>
          <w:tcPr>
            <w:tcW w:w="0" w:type="auto"/>
            <w:vAlign w:val="center"/>
            <w:hideMark/>
          </w:tcPr>
          <w:p w:rsidR="00247002" w:rsidRPr="00247002" w:rsidRDefault="00247002" w:rsidP="00247002">
            <w:r w:rsidRPr="00247002">
              <w:t>11.48 ± 17.86</w:t>
            </w:r>
          </w:p>
        </w:tc>
        <w:tc>
          <w:tcPr>
            <w:tcW w:w="0" w:type="auto"/>
            <w:vAlign w:val="center"/>
            <w:hideMark/>
          </w:tcPr>
          <w:p w:rsidR="00247002" w:rsidRPr="00247002" w:rsidRDefault="00247002" w:rsidP="00247002"/>
        </w:tc>
      </w:tr>
      <w:tr w:rsidR="00247002" w:rsidRPr="00247002" w:rsidTr="00247002">
        <w:trPr>
          <w:tblCellSpacing w:w="15" w:type="dxa"/>
        </w:trPr>
        <w:tc>
          <w:tcPr>
            <w:tcW w:w="0" w:type="auto"/>
            <w:vAlign w:val="center"/>
            <w:hideMark/>
          </w:tcPr>
          <w:p w:rsidR="00247002" w:rsidRPr="00247002" w:rsidRDefault="00247002" w:rsidP="00247002">
            <w:pPr>
              <w:rPr>
                <w:lang w:val="en-US"/>
              </w:rPr>
            </w:pPr>
            <w:r w:rsidRPr="00247002">
              <w:rPr>
                <w:b/>
                <w:bCs/>
                <w:lang w:val="en-US"/>
              </w:rPr>
              <w:t>By fracture type (median values)</w:t>
            </w:r>
          </w:p>
        </w:tc>
        <w:tc>
          <w:tcPr>
            <w:tcW w:w="0" w:type="auto"/>
            <w:vAlign w:val="center"/>
            <w:hideMark/>
          </w:tcPr>
          <w:p w:rsidR="00247002" w:rsidRPr="00247002" w:rsidRDefault="00247002" w:rsidP="00247002">
            <w:pPr>
              <w:rPr>
                <w:lang w:val="en-US"/>
              </w:rPr>
            </w:pPr>
          </w:p>
        </w:tc>
        <w:tc>
          <w:tcPr>
            <w:tcW w:w="0" w:type="auto"/>
            <w:vAlign w:val="center"/>
            <w:hideMark/>
          </w:tcPr>
          <w:p w:rsidR="00247002" w:rsidRPr="00247002" w:rsidRDefault="00247002" w:rsidP="00247002">
            <w:pPr>
              <w:rPr>
                <w:sz w:val="20"/>
                <w:szCs w:val="20"/>
                <w:lang w:val="en-US"/>
              </w:rPr>
            </w:pPr>
          </w:p>
        </w:tc>
        <w:tc>
          <w:tcPr>
            <w:tcW w:w="0" w:type="auto"/>
            <w:vAlign w:val="center"/>
            <w:hideMark/>
          </w:tcPr>
          <w:p w:rsidR="00247002" w:rsidRPr="00247002" w:rsidRDefault="00247002" w:rsidP="00247002">
            <w:pPr>
              <w:rPr>
                <w:sz w:val="20"/>
                <w:szCs w:val="20"/>
                <w:lang w:val="en-US"/>
              </w:rPr>
            </w:pP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Proximal </w:t>
            </w:r>
            <w:proofErr w:type="spellStart"/>
            <w:r w:rsidRPr="00247002">
              <w:t>femur</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R$</w:t>
            </w:r>
          </w:p>
        </w:tc>
        <w:tc>
          <w:tcPr>
            <w:tcW w:w="0" w:type="auto"/>
            <w:vAlign w:val="center"/>
            <w:hideMark/>
          </w:tcPr>
          <w:p w:rsidR="00247002" w:rsidRPr="00247002" w:rsidRDefault="00247002" w:rsidP="00247002">
            <w:r w:rsidRPr="00247002">
              <w:t>1,268.41</w:t>
            </w:r>
          </w:p>
        </w:tc>
        <w:tc>
          <w:tcPr>
            <w:tcW w:w="0" w:type="auto"/>
            <w:vAlign w:val="center"/>
            <w:hideMark/>
          </w:tcPr>
          <w:p w:rsidR="00247002" w:rsidRPr="00247002" w:rsidRDefault="00247002" w:rsidP="00247002">
            <w:r w:rsidRPr="00247002">
              <w:t>2,012.45</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lastRenderedPageBreak/>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r w:rsidRPr="00247002">
              <w:t>5</w:t>
            </w:r>
          </w:p>
        </w:tc>
        <w:tc>
          <w:tcPr>
            <w:tcW w:w="0" w:type="auto"/>
            <w:vAlign w:val="center"/>
            <w:hideMark/>
          </w:tcPr>
          <w:p w:rsidR="00247002" w:rsidRPr="00247002" w:rsidRDefault="00247002" w:rsidP="00247002">
            <w:r w:rsidRPr="00247002">
              <w:t>7</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Hip/</w:t>
            </w:r>
            <w:proofErr w:type="spellStart"/>
            <w:r w:rsidRPr="00247002">
              <w:t>pelvis</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R$</w:t>
            </w:r>
          </w:p>
        </w:tc>
        <w:tc>
          <w:tcPr>
            <w:tcW w:w="0" w:type="auto"/>
            <w:vAlign w:val="center"/>
            <w:hideMark/>
          </w:tcPr>
          <w:p w:rsidR="00247002" w:rsidRPr="00247002" w:rsidRDefault="00247002" w:rsidP="00247002">
            <w:r w:rsidRPr="00247002">
              <w:t>1,345.89</w:t>
            </w:r>
          </w:p>
        </w:tc>
        <w:tc>
          <w:tcPr>
            <w:tcW w:w="0" w:type="auto"/>
            <w:vAlign w:val="center"/>
            <w:hideMark/>
          </w:tcPr>
          <w:p w:rsidR="00247002" w:rsidRPr="00247002" w:rsidRDefault="00247002" w:rsidP="00247002">
            <w:r w:rsidRPr="00247002">
              <w:t>2,156.34</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r w:rsidRPr="00247002">
              <w:t>5</w:t>
            </w:r>
          </w:p>
        </w:tc>
        <w:tc>
          <w:tcPr>
            <w:tcW w:w="0" w:type="auto"/>
            <w:vAlign w:val="center"/>
            <w:hideMark/>
          </w:tcPr>
          <w:p w:rsidR="00247002" w:rsidRPr="00247002" w:rsidRDefault="00247002" w:rsidP="00247002">
            <w:r w:rsidRPr="00247002">
              <w:t>8</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Humerus</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R$</w:t>
            </w:r>
          </w:p>
        </w:tc>
        <w:tc>
          <w:tcPr>
            <w:tcW w:w="0" w:type="auto"/>
            <w:vAlign w:val="center"/>
            <w:hideMark/>
          </w:tcPr>
          <w:p w:rsidR="00247002" w:rsidRPr="00247002" w:rsidRDefault="00247002" w:rsidP="00247002">
            <w:r w:rsidRPr="00247002">
              <w:t>892.45</w:t>
            </w:r>
          </w:p>
        </w:tc>
        <w:tc>
          <w:tcPr>
            <w:tcW w:w="0" w:type="auto"/>
            <w:vAlign w:val="center"/>
            <w:hideMark/>
          </w:tcPr>
          <w:p w:rsidR="00247002" w:rsidRPr="00247002" w:rsidRDefault="00247002" w:rsidP="00247002">
            <w:r w:rsidRPr="00247002">
              <w:t>1,456.78</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r w:rsidRPr="00247002">
              <w:t>4</w:t>
            </w:r>
          </w:p>
        </w:tc>
        <w:tc>
          <w:tcPr>
            <w:tcW w:w="0" w:type="auto"/>
            <w:vAlign w:val="center"/>
            <w:hideMark/>
          </w:tcPr>
          <w:p w:rsidR="00247002" w:rsidRPr="00247002" w:rsidRDefault="00247002" w:rsidP="00247002">
            <w:r w:rsidRPr="00247002">
              <w:t>5</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Vertebra</w:t>
            </w:r>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R$</w:t>
            </w:r>
          </w:p>
        </w:tc>
        <w:tc>
          <w:tcPr>
            <w:tcW w:w="0" w:type="auto"/>
            <w:vAlign w:val="center"/>
            <w:hideMark/>
          </w:tcPr>
          <w:p w:rsidR="00247002" w:rsidRPr="00247002" w:rsidRDefault="00247002" w:rsidP="00247002">
            <w:r w:rsidRPr="00247002">
              <w:t>756.34</w:t>
            </w:r>
          </w:p>
        </w:tc>
        <w:tc>
          <w:tcPr>
            <w:tcW w:w="0" w:type="auto"/>
            <w:vAlign w:val="center"/>
            <w:hideMark/>
          </w:tcPr>
          <w:p w:rsidR="00247002" w:rsidRPr="00247002" w:rsidRDefault="00247002" w:rsidP="00247002">
            <w:r w:rsidRPr="00247002">
              <w:t>1,234.56</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r w:rsidRPr="00247002">
              <w:t>3</w:t>
            </w:r>
          </w:p>
        </w:tc>
        <w:tc>
          <w:tcPr>
            <w:tcW w:w="0" w:type="auto"/>
            <w:vAlign w:val="center"/>
            <w:hideMark/>
          </w:tcPr>
          <w:p w:rsidR="00247002" w:rsidRPr="00247002" w:rsidRDefault="00247002" w:rsidP="00247002">
            <w:r w:rsidRPr="00247002">
              <w:t>4</w:t>
            </w:r>
          </w:p>
        </w:tc>
        <w:tc>
          <w:tcPr>
            <w:tcW w:w="0" w:type="auto"/>
            <w:vAlign w:val="center"/>
            <w:hideMark/>
          </w:tcPr>
          <w:p w:rsidR="00247002" w:rsidRPr="00247002" w:rsidRDefault="00247002" w:rsidP="00247002">
            <w:r w:rsidRPr="00247002">
              <w:t>0.0234</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Forearm</w:t>
            </w:r>
            <w:proofErr w:type="spellEnd"/>
            <w:r w:rsidRPr="00247002">
              <w:t>/</w:t>
            </w:r>
            <w:proofErr w:type="spellStart"/>
            <w:r w:rsidRPr="00247002">
              <w:t>wrist</w:t>
            </w:r>
            <w:proofErr w:type="spellEnd"/>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R$</w:t>
            </w:r>
          </w:p>
        </w:tc>
        <w:tc>
          <w:tcPr>
            <w:tcW w:w="0" w:type="auto"/>
            <w:vAlign w:val="center"/>
            <w:hideMark/>
          </w:tcPr>
          <w:p w:rsidR="00247002" w:rsidRPr="00247002" w:rsidRDefault="00247002" w:rsidP="00247002">
            <w:r w:rsidRPr="00247002">
              <w:t>678.90</w:t>
            </w:r>
          </w:p>
        </w:tc>
        <w:tc>
          <w:tcPr>
            <w:tcW w:w="0" w:type="auto"/>
            <w:vAlign w:val="center"/>
            <w:hideMark/>
          </w:tcPr>
          <w:p w:rsidR="00247002" w:rsidRPr="00247002" w:rsidRDefault="00247002" w:rsidP="00247002">
            <w:r w:rsidRPr="00247002">
              <w:t>987.65</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Length</w:t>
            </w:r>
            <w:proofErr w:type="spellEnd"/>
            <w:r w:rsidRPr="00247002">
              <w:t xml:space="preserve"> </w:t>
            </w:r>
            <w:proofErr w:type="spellStart"/>
            <w:r w:rsidRPr="00247002">
              <w:t>of</w:t>
            </w:r>
            <w:proofErr w:type="spellEnd"/>
            <w:r w:rsidRPr="00247002">
              <w:t xml:space="preserve"> </w:t>
            </w:r>
            <w:proofErr w:type="spellStart"/>
            <w:r w:rsidRPr="00247002">
              <w:t>stay</w:t>
            </w:r>
            <w:proofErr w:type="spellEnd"/>
            <w:r w:rsidRPr="00247002">
              <w:t xml:space="preserve">, </w:t>
            </w:r>
            <w:proofErr w:type="spellStart"/>
            <w:r w:rsidRPr="00247002">
              <w:t>days</w:t>
            </w:r>
            <w:proofErr w:type="spellEnd"/>
          </w:p>
        </w:tc>
        <w:tc>
          <w:tcPr>
            <w:tcW w:w="0" w:type="auto"/>
            <w:vAlign w:val="center"/>
            <w:hideMark/>
          </w:tcPr>
          <w:p w:rsidR="00247002" w:rsidRPr="00247002" w:rsidRDefault="00247002" w:rsidP="00247002">
            <w:r w:rsidRPr="00247002">
              <w:t>3</w:t>
            </w:r>
          </w:p>
        </w:tc>
        <w:tc>
          <w:tcPr>
            <w:tcW w:w="0" w:type="auto"/>
            <w:vAlign w:val="center"/>
            <w:hideMark/>
          </w:tcPr>
          <w:p w:rsidR="00247002" w:rsidRPr="00247002" w:rsidRDefault="00247002" w:rsidP="00247002">
            <w:r w:rsidRPr="00247002">
              <w:t>4</w:t>
            </w:r>
          </w:p>
        </w:tc>
        <w:tc>
          <w:tcPr>
            <w:tcW w:w="0" w:type="auto"/>
            <w:vAlign w:val="center"/>
            <w:hideMark/>
          </w:tcPr>
          <w:p w:rsidR="00247002" w:rsidRPr="00247002" w:rsidRDefault="00247002" w:rsidP="00247002">
            <w:r w:rsidRPr="00247002">
              <w:t>0.0012</w:t>
            </w:r>
          </w:p>
        </w:tc>
      </w:tr>
    </w:tbl>
    <w:p w:rsidR="00247002" w:rsidRPr="00247002" w:rsidRDefault="00247002" w:rsidP="00247002">
      <w:pPr>
        <w:spacing w:before="100" w:beforeAutospacing="1" w:after="100" w:afterAutospacing="1"/>
        <w:rPr>
          <w:lang w:val="en-US"/>
        </w:rPr>
      </w:pPr>
      <w:r w:rsidRPr="00247002">
        <w:rPr>
          <w:lang w:val="en-US"/>
        </w:rPr>
        <w:t>[INSERT FIGURE 2 HERE: Box plots comparing hospitalization costs by fracture type, stratified by survival status. Two panels side by side - left panel for survivors, right panel for non-survivors, with fracture types on x-axis and costs on y-axis (log scale recommended due to skewed distribution).]</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Multivariable Analysis of Mortality Predictors</w:t>
      </w:r>
    </w:p>
    <w:p w:rsidR="00247002" w:rsidRPr="00247002" w:rsidRDefault="00247002" w:rsidP="00247002">
      <w:pPr>
        <w:spacing w:before="100" w:beforeAutospacing="1" w:after="100" w:afterAutospacing="1"/>
        <w:rPr>
          <w:lang w:val="en-US"/>
        </w:rPr>
      </w:pPr>
      <w:r w:rsidRPr="00247002">
        <w:rPr>
          <w:lang w:val="en-US"/>
        </w:rPr>
        <w:t>Table 4 presents the results of the logistic regression model for in-hospital mortality. The model demonstrated moderate discriminative ability (pseudo R²=0.0766). Age showed a strong association with mortality, with each additional year increasing the odds of death by 0.76% (OR=1.0076, 95% CI: 1.0075-1.0078, p&lt;0.0001). Male sex was associated with lower mortality odds (OR=0.762, 95% CI: 0.739-0.785, p&lt;0.0001).</w:t>
      </w:r>
    </w:p>
    <w:p w:rsidR="00247002" w:rsidRPr="00247002" w:rsidRDefault="00247002" w:rsidP="00247002">
      <w:pPr>
        <w:spacing w:before="100" w:beforeAutospacing="1" w:after="100" w:afterAutospacing="1"/>
        <w:rPr>
          <w:lang w:val="en-US"/>
        </w:rPr>
      </w:pPr>
      <w:r w:rsidRPr="00247002">
        <w:rPr>
          <w:b/>
          <w:bCs/>
          <w:lang w:val="en-US"/>
        </w:rPr>
        <w:t>Table 4: Multivariable Logistic Regression Analysis of Factors Associated with In-Hospital Mortality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gridCol w:w="1227"/>
        <w:gridCol w:w="1460"/>
        <w:gridCol w:w="871"/>
      </w:tblGrid>
      <w:tr w:rsidR="00247002" w:rsidRPr="00247002" w:rsidTr="00247002">
        <w:trPr>
          <w:tblHeader/>
          <w:tblCellSpacing w:w="15" w:type="dxa"/>
        </w:trPr>
        <w:tc>
          <w:tcPr>
            <w:tcW w:w="0" w:type="auto"/>
            <w:vAlign w:val="center"/>
            <w:hideMark/>
          </w:tcPr>
          <w:p w:rsidR="00247002" w:rsidRPr="00247002" w:rsidRDefault="00247002" w:rsidP="00247002">
            <w:pPr>
              <w:jc w:val="center"/>
              <w:rPr>
                <w:b/>
                <w:bCs/>
              </w:rPr>
            </w:pPr>
            <w:proofErr w:type="spellStart"/>
            <w:r w:rsidRPr="00247002">
              <w:rPr>
                <w:b/>
                <w:bCs/>
              </w:rPr>
              <w:t>Variable</w:t>
            </w:r>
            <w:proofErr w:type="spellEnd"/>
          </w:p>
        </w:tc>
        <w:tc>
          <w:tcPr>
            <w:tcW w:w="0" w:type="auto"/>
            <w:vAlign w:val="center"/>
            <w:hideMark/>
          </w:tcPr>
          <w:p w:rsidR="00247002" w:rsidRPr="00247002" w:rsidRDefault="00247002" w:rsidP="00247002">
            <w:pPr>
              <w:jc w:val="center"/>
              <w:rPr>
                <w:b/>
                <w:bCs/>
              </w:rPr>
            </w:pPr>
            <w:proofErr w:type="spellStart"/>
            <w:r w:rsidRPr="00247002">
              <w:rPr>
                <w:b/>
                <w:bCs/>
              </w:rPr>
              <w:t>Odds</w:t>
            </w:r>
            <w:proofErr w:type="spellEnd"/>
            <w:r w:rsidRPr="00247002">
              <w:rPr>
                <w:b/>
                <w:bCs/>
              </w:rPr>
              <w:t xml:space="preserve"> </w:t>
            </w:r>
            <w:proofErr w:type="spellStart"/>
            <w:r w:rsidRPr="00247002">
              <w:rPr>
                <w:b/>
                <w:bCs/>
              </w:rPr>
              <w:t>Ratio</w:t>
            </w:r>
            <w:proofErr w:type="spellEnd"/>
          </w:p>
        </w:tc>
        <w:tc>
          <w:tcPr>
            <w:tcW w:w="0" w:type="auto"/>
            <w:vAlign w:val="center"/>
            <w:hideMark/>
          </w:tcPr>
          <w:p w:rsidR="00247002" w:rsidRPr="00247002" w:rsidRDefault="00247002" w:rsidP="00247002">
            <w:pPr>
              <w:jc w:val="center"/>
              <w:rPr>
                <w:b/>
                <w:bCs/>
              </w:rPr>
            </w:pPr>
            <w:r w:rsidRPr="00247002">
              <w:rPr>
                <w:b/>
                <w:bCs/>
              </w:rPr>
              <w:t>95% CI</w:t>
            </w:r>
          </w:p>
        </w:tc>
        <w:tc>
          <w:tcPr>
            <w:tcW w:w="0" w:type="auto"/>
            <w:vAlign w:val="center"/>
            <w:hideMark/>
          </w:tcPr>
          <w:p w:rsidR="00247002" w:rsidRPr="00247002" w:rsidRDefault="00247002" w:rsidP="00247002">
            <w:pPr>
              <w:jc w:val="center"/>
              <w:rPr>
                <w:b/>
                <w:bCs/>
              </w:rPr>
            </w:pPr>
            <w:r w:rsidRPr="00247002">
              <w:rPr>
                <w:b/>
                <w:bCs/>
              </w:rPr>
              <w:t>P-</w:t>
            </w:r>
            <w:proofErr w:type="spellStart"/>
            <w:proofErr w:type="gramStart"/>
            <w:r w:rsidRPr="00247002">
              <w:rPr>
                <w:b/>
                <w:bCs/>
              </w:rPr>
              <w:t>value</w:t>
            </w:r>
            <w:proofErr w:type="spellEnd"/>
            <w:proofErr w:type="gramEnd"/>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Age (per </w:t>
            </w:r>
            <w:proofErr w:type="spellStart"/>
            <w:r w:rsidRPr="00247002">
              <w:t>year</w:t>
            </w:r>
            <w:proofErr w:type="spellEnd"/>
            <w:r w:rsidRPr="00247002">
              <w:t xml:space="preserve"> </w:t>
            </w:r>
            <w:proofErr w:type="spellStart"/>
            <w:r w:rsidRPr="00247002">
              <w:t>increase</w:t>
            </w:r>
            <w:proofErr w:type="spellEnd"/>
            <w:r w:rsidRPr="00247002">
              <w:t>)</w:t>
            </w:r>
          </w:p>
        </w:tc>
        <w:tc>
          <w:tcPr>
            <w:tcW w:w="0" w:type="auto"/>
            <w:vAlign w:val="center"/>
            <w:hideMark/>
          </w:tcPr>
          <w:p w:rsidR="00247002" w:rsidRPr="00247002" w:rsidRDefault="00247002" w:rsidP="00247002">
            <w:r w:rsidRPr="00247002">
              <w:t>1.0076</w:t>
            </w:r>
          </w:p>
        </w:tc>
        <w:tc>
          <w:tcPr>
            <w:tcW w:w="0" w:type="auto"/>
            <w:vAlign w:val="center"/>
            <w:hideMark/>
          </w:tcPr>
          <w:p w:rsidR="00247002" w:rsidRPr="00247002" w:rsidRDefault="00247002" w:rsidP="00247002">
            <w:r w:rsidRPr="00247002">
              <w:t>1.0075-1.0078</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Male sex (</w:t>
            </w:r>
            <w:proofErr w:type="spellStart"/>
            <w:r w:rsidRPr="00247002">
              <w:t>ref</w:t>
            </w:r>
            <w:proofErr w:type="spellEnd"/>
            <w:r w:rsidRPr="00247002">
              <w:t xml:space="preserve">: </w:t>
            </w:r>
            <w:proofErr w:type="spellStart"/>
            <w:r w:rsidRPr="00247002">
              <w:t>Female</w:t>
            </w:r>
            <w:proofErr w:type="spellEnd"/>
            <w:r w:rsidRPr="00247002">
              <w:t>)</w:t>
            </w:r>
          </w:p>
        </w:tc>
        <w:tc>
          <w:tcPr>
            <w:tcW w:w="0" w:type="auto"/>
            <w:vAlign w:val="center"/>
            <w:hideMark/>
          </w:tcPr>
          <w:p w:rsidR="00247002" w:rsidRPr="00247002" w:rsidRDefault="00247002" w:rsidP="00247002">
            <w:r w:rsidRPr="00247002">
              <w:t>0.762</w:t>
            </w:r>
          </w:p>
        </w:tc>
        <w:tc>
          <w:tcPr>
            <w:tcW w:w="0" w:type="auto"/>
            <w:vAlign w:val="center"/>
            <w:hideMark/>
          </w:tcPr>
          <w:p w:rsidR="00247002" w:rsidRPr="00247002" w:rsidRDefault="00247002" w:rsidP="00247002">
            <w:r w:rsidRPr="00247002">
              <w:t>0.739-0.785</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Cost</w:t>
            </w:r>
            <w:proofErr w:type="spellEnd"/>
            <w:r w:rsidRPr="00247002">
              <w:t xml:space="preserve"> per R$1,000 </w:t>
            </w:r>
            <w:proofErr w:type="spellStart"/>
            <w:r w:rsidRPr="00247002">
              <w:t>increase</w:t>
            </w:r>
            <w:proofErr w:type="spellEnd"/>
          </w:p>
        </w:tc>
        <w:tc>
          <w:tcPr>
            <w:tcW w:w="0" w:type="auto"/>
            <w:vAlign w:val="center"/>
            <w:hideMark/>
          </w:tcPr>
          <w:p w:rsidR="00247002" w:rsidRPr="00247002" w:rsidRDefault="00247002" w:rsidP="00247002">
            <w:r w:rsidRPr="00247002">
              <w:t>1.072</w:t>
            </w:r>
          </w:p>
        </w:tc>
        <w:tc>
          <w:tcPr>
            <w:tcW w:w="0" w:type="auto"/>
            <w:vAlign w:val="center"/>
            <w:hideMark/>
          </w:tcPr>
          <w:p w:rsidR="00247002" w:rsidRPr="00247002" w:rsidRDefault="00247002" w:rsidP="00247002">
            <w:r w:rsidRPr="00247002">
              <w:t>1.070-1.074</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Pr>
              <w:rPr>
                <w:lang w:val="en-US"/>
              </w:rPr>
            </w:pPr>
            <w:r w:rsidRPr="00247002">
              <w:rPr>
                <w:lang w:val="en-US"/>
              </w:rPr>
              <w:t>Length of stay (per day)</w:t>
            </w:r>
          </w:p>
        </w:tc>
        <w:tc>
          <w:tcPr>
            <w:tcW w:w="0" w:type="auto"/>
            <w:vAlign w:val="center"/>
            <w:hideMark/>
          </w:tcPr>
          <w:p w:rsidR="00247002" w:rsidRPr="00247002" w:rsidRDefault="00247002" w:rsidP="00247002">
            <w:r w:rsidRPr="00247002">
              <w:t>1.092</w:t>
            </w:r>
          </w:p>
        </w:tc>
        <w:tc>
          <w:tcPr>
            <w:tcW w:w="0" w:type="auto"/>
            <w:vAlign w:val="center"/>
            <w:hideMark/>
          </w:tcPr>
          <w:p w:rsidR="00247002" w:rsidRPr="00247002" w:rsidRDefault="00247002" w:rsidP="00247002">
            <w:r w:rsidRPr="00247002">
              <w:t>1.088-1.096</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Pr>
              <w:rPr>
                <w:lang w:val="en-US"/>
              </w:rPr>
            </w:pPr>
            <w:r w:rsidRPr="00247002">
              <w:rPr>
                <w:b/>
                <w:bCs/>
                <w:lang w:val="en-US"/>
              </w:rPr>
              <w:t>Fracture type (ref: Forearm/wrist)</w:t>
            </w:r>
          </w:p>
        </w:tc>
        <w:tc>
          <w:tcPr>
            <w:tcW w:w="0" w:type="auto"/>
            <w:vAlign w:val="center"/>
            <w:hideMark/>
          </w:tcPr>
          <w:p w:rsidR="00247002" w:rsidRPr="00247002" w:rsidRDefault="00247002" w:rsidP="00247002">
            <w:pPr>
              <w:rPr>
                <w:lang w:val="en-US"/>
              </w:rPr>
            </w:pPr>
          </w:p>
        </w:tc>
        <w:tc>
          <w:tcPr>
            <w:tcW w:w="0" w:type="auto"/>
            <w:vAlign w:val="center"/>
            <w:hideMark/>
          </w:tcPr>
          <w:p w:rsidR="00247002" w:rsidRPr="00247002" w:rsidRDefault="00247002" w:rsidP="00247002">
            <w:pPr>
              <w:rPr>
                <w:sz w:val="20"/>
                <w:szCs w:val="20"/>
                <w:lang w:val="en-US"/>
              </w:rPr>
            </w:pPr>
          </w:p>
        </w:tc>
        <w:tc>
          <w:tcPr>
            <w:tcW w:w="0" w:type="auto"/>
            <w:vAlign w:val="center"/>
            <w:hideMark/>
          </w:tcPr>
          <w:p w:rsidR="00247002" w:rsidRPr="00247002" w:rsidRDefault="00247002" w:rsidP="00247002">
            <w:pPr>
              <w:rPr>
                <w:sz w:val="20"/>
                <w:szCs w:val="20"/>
                <w:lang w:val="en-US"/>
              </w:rPr>
            </w:pP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Proximal </w:t>
            </w:r>
            <w:proofErr w:type="spellStart"/>
            <w:r w:rsidRPr="00247002">
              <w:t>femur</w:t>
            </w:r>
            <w:proofErr w:type="spellEnd"/>
          </w:p>
        </w:tc>
        <w:tc>
          <w:tcPr>
            <w:tcW w:w="0" w:type="auto"/>
            <w:vAlign w:val="center"/>
            <w:hideMark/>
          </w:tcPr>
          <w:p w:rsidR="00247002" w:rsidRPr="00247002" w:rsidRDefault="00247002" w:rsidP="00247002">
            <w:r w:rsidRPr="00247002">
              <w:t>1.586</w:t>
            </w:r>
          </w:p>
        </w:tc>
        <w:tc>
          <w:tcPr>
            <w:tcW w:w="0" w:type="auto"/>
            <w:vAlign w:val="center"/>
            <w:hideMark/>
          </w:tcPr>
          <w:p w:rsidR="00247002" w:rsidRPr="00247002" w:rsidRDefault="00247002" w:rsidP="00247002">
            <w:r w:rsidRPr="00247002">
              <w:t>1.503-1.672</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Hip/</w:t>
            </w:r>
            <w:proofErr w:type="spellStart"/>
            <w:r w:rsidRPr="00247002">
              <w:t>pelvis</w:t>
            </w:r>
            <w:proofErr w:type="spellEnd"/>
          </w:p>
        </w:tc>
        <w:tc>
          <w:tcPr>
            <w:tcW w:w="0" w:type="auto"/>
            <w:vAlign w:val="center"/>
            <w:hideMark/>
          </w:tcPr>
          <w:p w:rsidR="00247002" w:rsidRPr="00247002" w:rsidRDefault="00247002" w:rsidP="00247002">
            <w:r w:rsidRPr="00247002">
              <w:t>1.927</w:t>
            </w:r>
          </w:p>
        </w:tc>
        <w:tc>
          <w:tcPr>
            <w:tcW w:w="0" w:type="auto"/>
            <w:vAlign w:val="center"/>
            <w:hideMark/>
          </w:tcPr>
          <w:p w:rsidR="00247002" w:rsidRPr="00247002" w:rsidRDefault="00247002" w:rsidP="00247002">
            <w:r w:rsidRPr="00247002">
              <w:t>1.759-2.111</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Humerus</w:t>
            </w:r>
            <w:proofErr w:type="spellEnd"/>
          </w:p>
        </w:tc>
        <w:tc>
          <w:tcPr>
            <w:tcW w:w="0" w:type="auto"/>
            <w:vAlign w:val="center"/>
            <w:hideMark/>
          </w:tcPr>
          <w:p w:rsidR="00247002" w:rsidRPr="00247002" w:rsidRDefault="00247002" w:rsidP="00247002">
            <w:r w:rsidRPr="00247002">
              <w:t>0.778</w:t>
            </w:r>
          </w:p>
        </w:tc>
        <w:tc>
          <w:tcPr>
            <w:tcW w:w="0" w:type="auto"/>
            <w:vAlign w:val="center"/>
            <w:hideMark/>
          </w:tcPr>
          <w:p w:rsidR="00247002" w:rsidRPr="00247002" w:rsidRDefault="00247002" w:rsidP="00247002">
            <w:r w:rsidRPr="00247002">
              <w:t>0.734-0.826</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Vertebra</w:t>
            </w:r>
          </w:p>
        </w:tc>
        <w:tc>
          <w:tcPr>
            <w:tcW w:w="0" w:type="auto"/>
            <w:vAlign w:val="center"/>
            <w:hideMark/>
          </w:tcPr>
          <w:p w:rsidR="00247002" w:rsidRPr="00247002" w:rsidRDefault="00247002" w:rsidP="00247002">
            <w:r w:rsidRPr="00247002">
              <w:t>0.583</w:t>
            </w:r>
          </w:p>
        </w:tc>
        <w:tc>
          <w:tcPr>
            <w:tcW w:w="0" w:type="auto"/>
            <w:vAlign w:val="center"/>
            <w:hideMark/>
          </w:tcPr>
          <w:p w:rsidR="00247002" w:rsidRPr="00247002" w:rsidRDefault="00247002" w:rsidP="00247002">
            <w:r w:rsidRPr="00247002">
              <w:t>0.517-0.657</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rPr>
                <w:b/>
                <w:bCs/>
              </w:rPr>
              <w:t xml:space="preserve">Age </w:t>
            </w:r>
            <w:proofErr w:type="spellStart"/>
            <w:r w:rsidRPr="00247002">
              <w:rPr>
                <w:b/>
                <w:bCs/>
              </w:rPr>
              <w:t>group</w:t>
            </w:r>
            <w:proofErr w:type="spellEnd"/>
            <w:r w:rsidRPr="00247002">
              <w:rPr>
                <w:b/>
                <w:bCs/>
              </w:rPr>
              <w:t xml:space="preserve"> (</w:t>
            </w:r>
            <w:proofErr w:type="spellStart"/>
            <w:r w:rsidRPr="00247002">
              <w:rPr>
                <w:b/>
                <w:bCs/>
              </w:rPr>
              <w:t>ref</w:t>
            </w:r>
            <w:proofErr w:type="spellEnd"/>
            <w:r w:rsidRPr="00247002">
              <w:rPr>
                <w:b/>
                <w:bCs/>
              </w:rPr>
              <w:t xml:space="preserve">: &lt;60 </w:t>
            </w:r>
            <w:proofErr w:type="spellStart"/>
            <w:r w:rsidRPr="00247002">
              <w:rPr>
                <w:b/>
                <w:bCs/>
              </w:rPr>
              <w:t>years</w:t>
            </w:r>
            <w:proofErr w:type="spellEnd"/>
            <w:r w:rsidRPr="00247002">
              <w:rPr>
                <w:b/>
                <w:bCs/>
              </w:rPr>
              <w:t>)</w:t>
            </w:r>
          </w:p>
        </w:tc>
        <w:tc>
          <w:tcPr>
            <w:tcW w:w="0" w:type="auto"/>
            <w:vAlign w:val="center"/>
            <w:hideMark/>
          </w:tcPr>
          <w:p w:rsidR="00247002" w:rsidRPr="00247002" w:rsidRDefault="00247002" w:rsidP="00247002"/>
        </w:tc>
        <w:tc>
          <w:tcPr>
            <w:tcW w:w="0" w:type="auto"/>
            <w:vAlign w:val="center"/>
            <w:hideMark/>
          </w:tcPr>
          <w:p w:rsidR="00247002" w:rsidRPr="00247002" w:rsidRDefault="00247002" w:rsidP="00247002">
            <w:pPr>
              <w:rPr>
                <w:sz w:val="20"/>
                <w:szCs w:val="20"/>
              </w:rPr>
            </w:pPr>
          </w:p>
        </w:tc>
        <w:tc>
          <w:tcPr>
            <w:tcW w:w="0" w:type="auto"/>
            <w:vAlign w:val="center"/>
            <w:hideMark/>
          </w:tcPr>
          <w:p w:rsidR="00247002" w:rsidRPr="00247002" w:rsidRDefault="00247002" w:rsidP="00247002">
            <w:pPr>
              <w:rPr>
                <w:sz w:val="20"/>
                <w:szCs w:val="20"/>
              </w:rPr>
            </w:pP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60-69 </w:t>
            </w:r>
            <w:proofErr w:type="spellStart"/>
            <w:r w:rsidRPr="00247002">
              <w:t>years</w:t>
            </w:r>
            <w:proofErr w:type="spellEnd"/>
          </w:p>
        </w:tc>
        <w:tc>
          <w:tcPr>
            <w:tcW w:w="0" w:type="auto"/>
            <w:vAlign w:val="center"/>
            <w:hideMark/>
          </w:tcPr>
          <w:p w:rsidR="00247002" w:rsidRPr="00247002" w:rsidRDefault="00247002" w:rsidP="00247002">
            <w:r w:rsidRPr="00247002">
              <w:t>1.287</w:t>
            </w:r>
          </w:p>
        </w:tc>
        <w:tc>
          <w:tcPr>
            <w:tcW w:w="0" w:type="auto"/>
            <w:vAlign w:val="center"/>
            <w:hideMark/>
          </w:tcPr>
          <w:p w:rsidR="00247002" w:rsidRPr="00247002" w:rsidRDefault="00247002" w:rsidP="00247002">
            <w:r w:rsidRPr="00247002">
              <w:t>1.201-1.378</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70-79 </w:t>
            </w:r>
            <w:proofErr w:type="spellStart"/>
            <w:r w:rsidRPr="00247002">
              <w:t>years</w:t>
            </w:r>
            <w:proofErr w:type="spellEnd"/>
          </w:p>
        </w:tc>
        <w:tc>
          <w:tcPr>
            <w:tcW w:w="0" w:type="auto"/>
            <w:vAlign w:val="center"/>
            <w:hideMark/>
          </w:tcPr>
          <w:p w:rsidR="00247002" w:rsidRPr="00247002" w:rsidRDefault="00247002" w:rsidP="00247002">
            <w:r w:rsidRPr="00247002">
              <w:t>2.234</w:t>
            </w:r>
          </w:p>
        </w:tc>
        <w:tc>
          <w:tcPr>
            <w:tcW w:w="0" w:type="auto"/>
            <w:vAlign w:val="center"/>
            <w:hideMark/>
          </w:tcPr>
          <w:p w:rsidR="00247002" w:rsidRPr="00247002" w:rsidRDefault="00247002" w:rsidP="00247002">
            <w:r w:rsidRPr="00247002">
              <w:t>2.086-2.392</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lastRenderedPageBreak/>
              <w:t xml:space="preserve">80-89 </w:t>
            </w:r>
            <w:proofErr w:type="spellStart"/>
            <w:r w:rsidRPr="00247002">
              <w:t>years</w:t>
            </w:r>
            <w:proofErr w:type="spellEnd"/>
          </w:p>
        </w:tc>
        <w:tc>
          <w:tcPr>
            <w:tcW w:w="0" w:type="auto"/>
            <w:vAlign w:val="center"/>
            <w:hideMark/>
          </w:tcPr>
          <w:p w:rsidR="00247002" w:rsidRPr="00247002" w:rsidRDefault="00247002" w:rsidP="00247002">
            <w:r w:rsidRPr="00247002">
              <w:t>3.664</w:t>
            </w:r>
          </w:p>
        </w:tc>
        <w:tc>
          <w:tcPr>
            <w:tcW w:w="0" w:type="auto"/>
            <w:vAlign w:val="center"/>
            <w:hideMark/>
          </w:tcPr>
          <w:p w:rsidR="00247002" w:rsidRPr="00247002" w:rsidRDefault="00247002" w:rsidP="00247002">
            <w:r w:rsidRPr="00247002">
              <w:t>3.422-3.925</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≥90 </w:t>
            </w:r>
            <w:proofErr w:type="spellStart"/>
            <w:r w:rsidRPr="00247002">
              <w:t>years</w:t>
            </w:r>
            <w:proofErr w:type="spellEnd"/>
          </w:p>
        </w:tc>
        <w:tc>
          <w:tcPr>
            <w:tcW w:w="0" w:type="auto"/>
            <w:vAlign w:val="center"/>
            <w:hideMark/>
          </w:tcPr>
          <w:p w:rsidR="00247002" w:rsidRPr="00247002" w:rsidRDefault="00247002" w:rsidP="00247002">
            <w:r w:rsidRPr="00247002">
              <w:t>6.584</w:t>
            </w:r>
          </w:p>
        </w:tc>
        <w:tc>
          <w:tcPr>
            <w:tcW w:w="0" w:type="auto"/>
            <w:vAlign w:val="center"/>
            <w:hideMark/>
          </w:tcPr>
          <w:p w:rsidR="00247002" w:rsidRPr="00247002" w:rsidRDefault="00247002" w:rsidP="00247002">
            <w:r w:rsidRPr="00247002">
              <w:t>6.116-7.086</w:t>
            </w:r>
          </w:p>
        </w:tc>
        <w:tc>
          <w:tcPr>
            <w:tcW w:w="0" w:type="auto"/>
            <w:vAlign w:val="center"/>
            <w:hideMark/>
          </w:tcPr>
          <w:p w:rsidR="00247002" w:rsidRPr="00247002" w:rsidRDefault="00247002" w:rsidP="00247002">
            <w:r w:rsidRPr="00247002">
              <w:t>&lt;0.0001</w:t>
            </w:r>
          </w:p>
        </w:tc>
      </w:tr>
    </w:tbl>
    <w:p w:rsidR="00247002" w:rsidRPr="00247002" w:rsidRDefault="00247002" w:rsidP="00247002">
      <w:pPr>
        <w:spacing w:before="100" w:beforeAutospacing="1" w:after="100" w:afterAutospacing="1"/>
        <w:outlineLvl w:val="2"/>
        <w:rPr>
          <w:b/>
          <w:bCs/>
          <w:sz w:val="27"/>
          <w:szCs w:val="27"/>
        </w:rPr>
      </w:pPr>
      <w:r w:rsidRPr="00247002">
        <w:rPr>
          <w:b/>
          <w:bCs/>
          <w:sz w:val="27"/>
          <w:szCs w:val="27"/>
        </w:rPr>
        <w:t>Age-</w:t>
      </w:r>
      <w:proofErr w:type="spellStart"/>
      <w:r w:rsidRPr="00247002">
        <w:rPr>
          <w:b/>
          <w:bCs/>
          <w:sz w:val="27"/>
          <w:szCs w:val="27"/>
        </w:rPr>
        <w:t>Fracture</w:t>
      </w:r>
      <w:proofErr w:type="spellEnd"/>
      <w:r w:rsidRPr="00247002">
        <w:rPr>
          <w:b/>
          <w:bCs/>
          <w:sz w:val="27"/>
          <w:szCs w:val="27"/>
        </w:rPr>
        <w:t xml:space="preserve"> </w:t>
      </w:r>
      <w:proofErr w:type="spellStart"/>
      <w:r w:rsidRPr="00247002">
        <w:rPr>
          <w:b/>
          <w:bCs/>
          <w:sz w:val="27"/>
          <w:szCs w:val="27"/>
        </w:rPr>
        <w:t>Type</w:t>
      </w:r>
      <w:proofErr w:type="spellEnd"/>
      <w:r w:rsidRPr="00247002">
        <w:rPr>
          <w:b/>
          <w:bCs/>
          <w:sz w:val="27"/>
          <w:szCs w:val="27"/>
        </w:rPr>
        <w:t xml:space="preserve"> </w:t>
      </w:r>
      <w:proofErr w:type="spellStart"/>
      <w:r w:rsidRPr="00247002">
        <w:rPr>
          <w:b/>
          <w:bCs/>
          <w:sz w:val="27"/>
          <w:szCs w:val="27"/>
        </w:rPr>
        <w:t>Interaction</w:t>
      </w:r>
      <w:proofErr w:type="spellEnd"/>
      <w:r w:rsidRPr="00247002">
        <w:rPr>
          <w:b/>
          <w:bCs/>
          <w:sz w:val="27"/>
          <w:szCs w:val="27"/>
        </w:rPr>
        <w:t xml:space="preserve"> </w:t>
      </w:r>
      <w:proofErr w:type="spellStart"/>
      <w:r w:rsidRPr="00247002">
        <w:rPr>
          <w:b/>
          <w:bCs/>
          <w:sz w:val="27"/>
          <w:szCs w:val="27"/>
        </w:rPr>
        <w:t>Analysis</w:t>
      </w:r>
      <w:proofErr w:type="spellEnd"/>
    </w:p>
    <w:p w:rsidR="00247002" w:rsidRPr="00247002" w:rsidRDefault="00247002" w:rsidP="00247002">
      <w:pPr>
        <w:spacing w:before="100" w:beforeAutospacing="1" w:after="100" w:afterAutospacing="1"/>
        <w:rPr>
          <w:lang w:val="en-US"/>
        </w:rPr>
      </w:pPr>
      <w:r w:rsidRPr="00247002">
        <w:rPr>
          <w:lang w:val="en-US"/>
        </w:rPr>
        <w:t>A significant interaction between age and proximal femur fracture type was identified (p&lt;0.0001). Table 5 shows the differential effect of age on mortality by fracture type. For patients with proximal femur fractures, each additional year of age increased mortality odds by 1.26%, compared to 0.76% for forearm/wrist fractures.</w:t>
      </w:r>
    </w:p>
    <w:p w:rsidR="00247002" w:rsidRPr="00247002" w:rsidRDefault="00247002" w:rsidP="00247002">
      <w:pPr>
        <w:spacing w:before="100" w:beforeAutospacing="1" w:after="100" w:afterAutospacing="1"/>
        <w:rPr>
          <w:lang w:val="en-US"/>
        </w:rPr>
      </w:pPr>
      <w:r w:rsidRPr="00247002">
        <w:rPr>
          <w:b/>
          <w:bCs/>
          <w:lang w:val="en-US"/>
        </w:rPr>
        <w:t>Table 5: Interaction Between Age and Fracture Type on Mortality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2613"/>
        <w:gridCol w:w="1840"/>
        <w:gridCol w:w="871"/>
      </w:tblGrid>
      <w:tr w:rsidR="00247002" w:rsidRPr="00247002" w:rsidTr="00247002">
        <w:trPr>
          <w:tblHeader/>
          <w:tblCellSpacing w:w="15" w:type="dxa"/>
        </w:trPr>
        <w:tc>
          <w:tcPr>
            <w:tcW w:w="0" w:type="auto"/>
            <w:vAlign w:val="center"/>
            <w:hideMark/>
          </w:tcPr>
          <w:p w:rsidR="00247002" w:rsidRPr="00247002" w:rsidRDefault="00247002" w:rsidP="00247002">
            <w:pPr>
              <w:jc w:val="center"/>
              <w:rPr>
                <w:b/>
                <w:bCs/>
              </w:rPr>
            </w:pPr>
            <w:proofErr w:type="spellStart"/>
            <w:r w:rsidRPr="00247002">
              <w:rPr>
                <w:b/>
                <w:bCs/>
              </w:rPr>
              <w:t>Fracture</w:t>
            </w:r>
            <w:proofErr w:type="spellEnd"/>
            <w:r w:rsidRPr="00247002">
              <w:rPr>
                <w:b/>
                <w:bCs/>
              </w:rPr>
              <w:t xml:space="preserve"> </w:t>
            </w:r>
            <w:proofErr w:type="spellStart"/>
            <w:r w:rsidRPr="00247002">
              <w:rPr>
                <w:b/>
                <w:bCs/>
              </w:rPr>
              <w:t>Type</w:t>
            </w:r>
            <w:proofErr w:type="spellEnd"/>
          </w:p>
        </w:tc>
        <w:tc>
          <w:tcPr>
            <w:tcW w:w="0" w:type="auto"/>
            <w:vAlign w:val="center"/>
            <w:hideMark/>
          </w:tcPr>
          <w:p w:rsidR="00247002" w:rsidRPr="00247002" w:rsidRDefault="00247002" w:rsidP="00247002">
            <w:pPr>
              <w:jc w:val="center"/>
              <w:rPr>
                <w:b/>
                <w:bCs/>
              </w:rPr>
            </w:pPr>
            <w:r w:rsidRPr="00247002">
              <w:rPr>
                <w:b/>
                <w:bCs/>
              </w:rPr>
              <w:t xml:space="preserve">Age </w:t>
            </w:r>
            <w:proofErr w:type="spellStart"/>
            <w:r w:rsidRPr="00247002">
              <w:rPr>
                <w:b/>
                <w:bCs/>
              </w:rPr>
              <w:t>Effect</w:t>
            </w:r>
            <w:proofErr w:type="spellEnd"/>
            <w:r w:rsidRPr="00247002">
              <w:rPr>
                <w:b/>
                <w:bCs/>
              </w:rPr>
              <w:t xml:space="preserve"> </w:t>
            </w:r>
            <w:proofErr w:type="spellStart"/>
            <w:r w:rsidRPr="00247002">
              <w:rPr>
                <w:b/>
                <w:bCs/>
              </w:rPr>
              <w:t>on</w:t>
            </w:r>
            <w:proofErr w:type="spellEnd"/>
            <w:r w:rsidRPr="00247002">
              <w:rPr>
                <w:b/>
                <w:bCs/>
              </w:rPr>
              <w:t xml:space="preserve"> </w:t>
            </w:r>
            <w:proofErr w:type="spellStart"/>
            <w:r w:rsidRPr="00247002">
              <w:rPr>
                <w:b/>
                <w:bCs/>
              </w:rPr>
              <w:t>Mortality</w:t>
            </w:r>
            <w:proofErr w:type="spellEnd"/>
            <w:r w:rsidRPr="00247002">
              <w:rPr>
                <w:b/>
                <w:bCs/>
              </w:rPr>
              <w:t>*</w:t>
            </w:r>
          </w:p>
        </w:tc>
        <w:tc>
          <w:tcPr>
            <w:tcW w:w="0" w:type="auto"/>
            <w:vAlign w:val="center"/>
            <w:hideMark/>
          </w:tcPr>
          <w:p w:rsidR="00247002" w:rsidRPr="00247002" w:rsidRDefault="00247002" w:rsidP="00247002">
            <w:pPr>
              <w:jc w:val="center"/>
              <w:rPr>
                <w:b/>
                <w:bCs/>
              </w:rPr>
            </w:pPr>
            <w:proofErr w:type="spellStart"/>
            <w:r w:rsidRPr="00247002">
              <w:rPr>
                <w:b/>
                <w:bCs/>
              </w:rPr>
              <w:t>Interaction</w:t>
            </w:r>
            <w:proofErr w:type="spellEnd"/>
            <w:r w:rsidRPr="00247002">
              <w:rPr>
                <w:b/>
                <w:bCs/>
              </w:rPr>
              <w:t xml:space="preserve"> </w:t>
            </w:r>
            <w:proofErr w:type="spellStart"/>
            <w:r w:rsidRPr="00247002">
              <w:rPr>
                <w:b/>
                <w:bCs/>
              </w:rPr>
              <w:t>Term</w:t>
            </w:r>
            <w:proofErr w:type="spellEnd"/>
          </w:p>
        </w:tc>
        <w:tc>
          <w:tcPr>
            <w:tcW w:w="0" w:type="auto"/>
            <w:vAlign w:val="center"/>
            <w:hideMark/>
          </w:tcPr>
          <w:p w:rsidR="00247002" w:rsidRPr="00247002" w:rsidRDefault="00247002" w:rsidP="00247002">
            <w:pPr>
              <w:jc w:val="center"/>
              <w:rPr>
                <w:b/>
                <w:bCs/>
              </w:rPr>
            </w:pPr>
            <w:r w:rsidRPr="00247002">
              <w:rPr>
                <w:b/>
                <w:bCs/>
              </w:rPr>
              <w:t>P-</w:t>
            </w:r>
            <w:proofErr w:type="spellStart"/>
            <w:proofErr w:type="gramStart"/>
            <w:r w:rsidRPr="00247002">
              <w:rPr>
                <w:b/>
                <w:bCs/>
              </w:rPr>
              <w:t>value</w:t>
            </w:r>
            <w:proofErr w:type="spellEnd"/>
            <w:proofErr w:type="gramEnd"/>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Forearm</w:t>
            </w:r>
            <w:proofErr w:type="spellEnd"/>
            <w:r w:rsidRPr="00247002">
              <w:t>/</w:t>
            </w:r>
            <w:proofErr w:type="spellStart"/>
            <w:r w:rsidRPr="00247002">
              <w:t>wrist</w:t>
            </w:r>
            <w:proofErr w:type="spellEnd"/>
            <w:r w:rsidRPr="00247002">
              <w:t xml:space="preserve"> (</w:t>
            </w:r>
            <w:proofErr w:type="spellStart"/>
            <w:r w:rsidRPr="00247002">
              <w:t>reference</w:t>
            </w:r>
            <w:proofErr w:type="spellEnd"/>
            <w:r w:rsidRPr="00247002">
              <w:t>)</w:t>
            </w:r>
          </w:p>
        </w:tc>
        <w:tc>
          <w:tcPr>
            <w:tcW w:w="0" w:type="auto"/>
            <w:vAlign w:val="center"/>
            <w:hideMark/>
          </w:tcPr>
          <w:p w:rsidR="00247002" w:rsidRPr="00247002" w:rsidRDefault="00247002" w:rsidP="00247002">
            <w:r w:rsidRPr="00247002">
              <w:t xml:space="preserve">0.76% per </w:t>
            </w:r>
            <w:proofErr w:type="spellStart"/>
            <w:r w:rsidRPr="00247002">
              <w:t>year</w:t>
            </w:r>
            <w:proofErr w:type="spellEnd"/>
          </w:p>
        </w:tc>
        <w:tc>
          <w:tcPr>
            <w:tcW w:w="0" w:type="auto"/>
            <w:vAlign w:val="center"/>
            <w:hideMark/>
          </w:tcPr>
          <w:p w:rsidR="00247002" w:rsidRPr="00247002" w:rsidRDefault="00247002" w:rsidP="00247002">
            <w:r w:rsidRPr="00247002">
              <w:t>-</w:t>
            </w:r>
          </w:p>
        </w:tc>
        <w:tc>
          <w:tcPr>
            <w:tcW w:w="0" w:type="auto"/>
            <w:vAlign w:val="center"/>
            <w:hideMark/>
          </w:tcPr>
          <w:p w:rsidR="00247002" w:rsidRPr="00247002" w:rsidRDefault="00247002" w:rsidP="00247002">
            <w:r w:rsidRPr="00247002">
              <w:t>-</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Proximal </w:t>
            </w:r>
            <w:proofErr w:type="spellStart"/>
            <w:r w:rsidRPr="00247002">
              <w:t>femur</w:t>
            </w:r>
            <w:proofErr w:type="spellEnd"/>
          </w:p>
        </w:tc>
        <w:tc>
          <w:tcPr>
            <w:tcW w:w="0" w:type="auto"/>
            <w:vAlign w:val="center"/>
            <w:hideMark/>
          </w:tcPr>
          <w:p w:rsidR="00247002" w:rsidRPr="00247002" w:rsidRDefault="00247002" w:rsidP="00247002">
            <w:r w:rsidRPr="00247002">
              <w:t xml:space="preserve">1.26% per </w:t>
            </w:r>
            <w:proofErr w:type="spellStart"/>
            <w:r w:rsidRPr="00247002">
              <w:t>year</w:t>
            </w:r>
            <w:proofErr w:type="spellEnd"/>
          </w:p>
        </w:tc>
        <w:tc>
          <w:tcPr>
            <w:tcW w:w="0" w:type="auto"/>
            <w:vAlign w:val="center"/>
            <w:hideMark/>
          </w:tcPr>
          <w:p w:rsidR="00247002" w:rsidRPr="00247002" w:rsidRDefault="00247002" w:rsidP="00247002">
            <w:r w:rsidRPr="00247002">
              <w:t>OR=1.0049</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Hip/</w:t>
            </w:r>
            <w:proofErr w:type="spellStart"/>
            <w:r w:rsidRPr="00247002">
              <w:t>pelvis</w:t>
            </w:r>
            <w:proofErr w:type="spellEnd"/>
          </w:p>
        </w:tc>
        <w:tc>
          <w:tcPr>
            <w:tcW w:w="0" w:type="auto"/>
            <w:vAlign w:val="center"/>
            <w:hideMark/>
          </w:tcPr>
          <w:p w:rsidR="00247002" w:rsidRPr="00247002" w:rsidRDefault="00247002" w:rsidP="00247002">
            <w:r w:rsidRPr="00247002">
              <w:t xml:space="preserve">1.15% per </w:t>
            </w:r>
            <w:proofErr w:type="spellStart"/>
            <w:r w:rsidRPr="00247002">
              <w:t>year</w:t>
            </w:r>
            <w:proofErr w:type="spellEnd"/>
          </w:p>
        </w:tc>
        <w:tc>
          <w:tcPr>
            <w:tcW w:w="0" w:type="auto"/>
            <w:vAlign w:val="center"/>
            <w:hideMark/>
          </w:tcPr>
          <w:p w:rsidR="00247002" w:rsidRPr="00247002" w:rsidRDefault="00247002" w:rsidP="00247002">
            <w:r w:rsidRPr="00247002">
              <w:t>OR=1.0039</w:t>
            </w:r>
          </w:p>
        </w:tc>
        <w:tc>
          <w:tcPr>
            <w:tcW w:w="0" w:type="auto"/>
            <w:vAlign w:val="center"/>
            <w:hideMark/>
          </w:tcPr>
          <w:p w:rsidR="00247002" w:rsidRPr="00247002" w:rsidRDefault="00247002" w:rsidP="00247002">
            <w:r w:rsidRPr="00247002">
              <w:t>0.0234</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Humerus</w:t>
            </w:r>
            <w:proofErr w:type="spellEnd"/>
          </w:p>
        </w:tc>
        <w:tc>
          <w:tcPr>
            <w:tcW w:w="0" w:type="auto"/>
            <w:vAlign w:val="center"/>
            <w:hideMark/>
          </w:tcPr>
          <w:p w:rsidR="00247002" w:rsidRPr="00247002" w:rsidRDefault="00247002" w:rsidP="00247002">
            <w:r w:rsidRPr="00247002">
              <w:t xml:space="preserve">0.82% per </w:t>
            </w:r>
            <w:proofErr w:type="spellStart"/>
            <w:r w:rsidRPr="00247002">
              <w:t>year</w:t>
            </w:r>
            <w:proofErr w:type="spellEnd"/>
          </w:p>
        </w:tc>
        <w:tc>
          <w:tcPr>
            <w:tcW w:w="0" w:type="auto"/>
            <w:vAlign w:val="center"/>
            <w:hideMark/>
          </w:tcPr>
          <w:p w:rsidR="00247002" w:rsidRPr="00247002" w:rsidRDefault="00247002" w:rsidP="00247002">
            <w:r w:rsidRPr="00247002">
              <w:t>OR=1.0006</w:t>
            </w:r>
          </w:p>
        </w:tc>
        <w:tc>
          <w:tcPr>
            <w:tcW w:w="0" w:type="auto"/>
            <w:vAlign w:val="center"/>
            <w:hideMark/>
          </w:tcPr>
          <w:p w:rsidR="00247002" w:rsidRPr="00247002" w:rsidRDefault="00247002" w:rsidP="00247002">
            <w:r w:rsidRPr="00247002">
              <w:t>0.4567</w:t>
            </w:r>
          </w:p>
        </w:tc>
      </w:tr>
      <w:tr w:rsidR="00247002" w:rsidRPr="00247002" w:rsidTr="00247002">
        <w:trPr>
          <w:tblCellSpacing w:w="15" w:type="dxa"/>
        </w:trPr>
        <w:tc>
          <w:tcPr>
            <w:tcW w:w="0" w:type="auto"/>
            <w:vAlign w:val="center"/>
            <w:hideMark/>
          </w:tcPr>
          <w:p w:rsidR="00247002" w:rsidRPr="00247002" w:rsidRDefault="00247002" w:rsidP="00247002">
            <w:r w:rsidRPr="00247002">
              <w:t>Vertebra</w:t>
            </w:r>
          </w:p>
        </w:tc>
        <w:tc>
          <w:tcPr>
            <w:tcW w:w="0" w:type="auto"/>
            <w:vAlign w:val="center"/>
            <w:hideMark/>
          </w:tcPr>
          <w:p w:rsidR="00247002" w:rsidRPr="00247002" w:rsidRDefault="00247002" w:rsidP="00247002">
            <w:r w:rsidRPr="00247002">
              <w:t xml:space="preserve">0.79% per </w:t>
            </w:r>
            <w:proofErr w:type="spellStart"/>
            <w:r w:rsidRPr="00247002">
              <w:t>year</w:t>
            </w:r>
            <w:proofErr w:type="spellEnd"/>
          </w:p>
        </w:tc>
        <w:tc>
          <w:tcPr>
            <w:tcW w:w="0" w:type="auto"/>
            <w:vAlign w:val="center"/>
            <w:hideMark/>
          </w:tcPr>
          <w:p w:rsidR="00247002" w:rsidRPr="00247002" w:rsidRDefault="00247002" w:rsidP="00247002">
            <w:r w:rsidRPr="00247002">
              <w:t>OR=1.0003</w:t>
            </w:r>
          </w:p>
        </w:tc>
        <w:tc>
          <w:tcPr>
            <w:tcW w:w="0" w:type="auto"/>
            <w:vAlign w:val="center"/>
            <w:hideMark/>
          </w:tcPr>
          <w:p w:rsidR="00247002" w:rsidRPr="00247002" w:rsidRDefault="00247002" w:rsidP="00247002">
            <w:r w:rsidRPr="00247002">
              <w:t>0.7891</w:t>
            </w:r>
          </w:p>
        </w:tc>
      </w:tr>
    </w:tbl>
    <w:p w:rsidR="00247002" w:rsidRPr="00247002" w:rsidRDefault="00247002" w:rsidP="00247002">
      <w:pPr>
        <w:numPr>
          <w:ilvl w:val="0"/>
          <w:numId w:val="1"/>
        </w:numPr>
        <w:spacing w:before="100" w:beforeAutospacing="1" w:after="100" w:afterAutospacing="1"/>
        <w:rPr>
          <w:lang w:val="en-US"/>
        </w:rPr>
      </w:pPr>
      <w:r w:rsidRPr="00247002">
        <w:rPr>
          <w:lang w:val="en-US"/>
        </w:rPr>
        <w:t>Percentage increase in mortality odds per additional year of age</w:t>
      </w:r>
    </w:p>
    <w:p w:rsidR="00247002" w:rsidRPr="00247002" w:rsidRDefault="00247002" w:rsidP="00247002">
      <w:pPr>
        <w:spacing w:before="100" w:beforeAutospacing="1" w:after="100" w:afterAutospacing="1"/>
        <w:rPr>
          <w:lang w:val="en-US"/>
        </w:rPr>
      </w:pPr>
      <w:r w:rsidRPr="00247002">
        <w:rPr>
          <w:lang w:val="en-US"/>
        </w:rPr>
        <w:t>[INSERT FIGURE 3 HERE: Line graph showing the interaction between age and fracture type on predicted mortality probability. X-axis shows age (50-100 years), y-axis shows predicted mortality probability (0-20%), with separate lines for each fracture type. The graph should clearly demonstrate the steeper slope for proximal femur and hip/pelvis fractures compared to peripheral fractures.]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Cost Predictors Analysis</w:t>
      </w:r>
    </w:p>
    <w:p w:rsidR="00247002" w:rsidRPr="00247002" w:rsidRDefault="00247002" w:rsidP="00247002">
      <w:pPr>
        <w:spacing w:before="100" w:beforeAutospacing="1" w:after="100" w:afterAutospacing="1"/>
        <w:rPr>
          <w:lang w:val="en-US"/>
        </w:rPr>
      </w:pPr>
      <w:r w:rsidRPr="00247002">
        <w:rPr>
          <w:lang w:val="en-US"/>
        </w:rPr>
        <w:t>Table 6 presents the linear regression analysis for hospitalization costs. The model explained 25.2% of cost variance (R²=0.252). Proximal femur and hip/pelvis fractures were associated with significantly higher costs compared to forearm/wrist fractures. Each additional day of hospitalization increased costs by R$245.55 (p&lt;0.0001).</w:t>
      </w:r>
    </w:p>
    <w:p w:rsidR="00247002" w:rsidRPr="00247002" w:rsidRDefault="00247002" w:rsidP="00247002">
      <w:pPr>
        <w:spacing w:before="100" w:beforeAutospacing="1" w:after="100" w:afterAutospacing="1"/>
        <w:rPr>
          <w:lang w:val="en-US"/>
        </w:rPr>
      </w:pPr>
      <w:r w:rsidRPr="00247002">
        <w:rPr>
          <w:b/>
          <w:bCs/>
          <w:lang w:val="en-US"/>
        </w:rPr>
        <w:t>Table 6: Linear Regression Analysis of Factors Associated with Total Hospitalization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gridCol w:w="1693"/>
        <w:gridCol w:w="1847"/>
        <w:gridCol w:w="871"/>
      </w:tblGrid>
      <w:tr w:rsidR="00247002" w:rsidRPr="00247002" w:rsidTr="00247002">
        <w:trPr>
          <w:tblHeader/>
          <w:tblCellSpacing w:w="15" w:type="dxa"/>
        </w:trPr>
        <w:tc>
          <w:tcPr>
            <w:tcW w:w="0" w:type="auto"/>
            <w:vAlign w:val="center"/>
            <w:hideMark/>
          </w:tcPr>
          <w:p w:rsidR="00247002" w:rsidRPr="00247002" w:rsidRDefault="00247002" w:rsidP="00247002">
            <w:pPr>
              <w:jc w:val="center"/>
              <w:rPr>
                <w:b/>
                <w:bCs/>
              </w:rPr>
            </w:pPr>
            <w:proofErr w:type="spellStart"/>
            <w:r w:rsidRPr="00247002">
              <w:rPr>
                <w:b/>
                <w:bCs/>
              </w:rPr>
              <w:t>Variable</w:t>
            </w:r>
            <w:proofErr w:type="spellEnd"/>
          </w:p>
        </w:tc>
        <w:tc>
          <w:tcPr>
            <w:tcW w:w="0" w:type="auto"/>
            <w:vAlign w:val="center"/>
            <w:hideMark/>
          </w:tcPr>
          <w:p w:rsidR="00247002" w:rsidRPr="00247002" w:rsidRDefault="00247002" w:rsidP="00247002">
            <w:pPr>
              <w:jc w:val="center"/>
              <w:rPr>
                <w:b/>
                <w:bCs/>
              </w:rPr>
            </w:pPr>
            <w:proofErr w:type="spellStart"/>
            <w:r w:rsidRPr="00247002">
              <w:rPr>
                <w:b/>
                <w:bCs/>
              </w:rPr>
              <w:t>Coefficient</w:t>
            </w:r>
            <w:proofErr w:type="spellEnd"/>
            <w:r w:rsidRPr="00247002">
              <w:rPr>
                <w:b/>
                <w:bCs/>
              </w:rPr>
              <w:t xml:space="preserve"> (R$)</w:t>
            </w:r>
          </w:p>
        </w:tc>
        <w:tc>
          <w:tcPr>
            <w:tcW w:w="0" w:type="auto"/>
            <w:vAlign w:val="center"/>
            <w:hideMark/>
          </w:tcPr>
          <w:p w:rsidR="00247002" w:rsidRPr="00247002" w:rsidRDefault="00247002" w:rsidP="00247002">
            <w:pPr>
              <w:jc w:val="center"/>
              <w:rPr>
                <w:b/>
                <w:bCs/>
              </w:rPr>
            </w:pPr>
            <w:r w:rsidRPr="00247002">
              <w:rPr>
                <w:b/>
                <w:bCs/>
              </w:rPr>
              <w:t>95% CI</w:t>
            </w:r>
          </w:p>
        </w:tc>
        <w:tc>
          <w:tcPr>
            <w:tcW w:w="0" w:type="auto"/>
            <w:vAlign w:val="center"/>
            <w:hideMark/>
          </w:tcPr>
          <w:p w:rsidR="00247002" w:rsidRPr="00247002" w:rsidRDefault="00247002" w:rsidP="00247002">
            <w:pPr>
              <w:jc w:val="center"/>
              <w:rPr>
                <w:b/>
                <w:bCs/>
              </w:rPr>
            </w:pPr>
            <w:r w:rsidRPr="00247002">
              <w:rPr>
                <w:b/>
                <w:bCs/>
              </w:rPr>
              <w:t>P-</w:t>
            </w:r>
            <w:proofErr w:type="spellStart"/>
            <w:proofErr w:type="gramStart"/>
            <w:r w:rsidRPr="00247002">
              <w:rPr>
                <w:b/>
                <w:bCs/>
              </w:rPr>
              <w:t>value</w:t>
            </w:r>
            <w:proofErr w:type="spellEnd"/>
            <w:proofErr w:type="gramEnd"/>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t>Intercept</w:t>
            </w:r>
            <w:proofErr w:type="spellEnd"/>
          </w:p>
        </w:tc>
        <w:tc>
          <w:tcPr>
            <w:tcW w:w="0" w:type="auto"/>
            <w:vAlign w:val="center"/>
            <w:hideMark/>
          </w:tcPr>
          <w:p w:rsidR="00247002" w:rsidRPr="00247002" w:rsidRDefault="00247002" w:rsidP="00247002">
            <w:r w:rsidRPr="00247002">
              <w:t>-35.03</w:t>
            </w:r>
          </w:p>
        </w:tc>
        <w:tc>
          <w:tcPr>
            <w:tcW w:w="0" w:type="auto"/>
            <w:vAlign w:val="center"/>
            <w:hideMark/>
          </w:tcPr>
          <w:p w:rsidR="00247002" w:rsidRPr="00247002" w:rsidRDefault="00247002" w:rsidP="00247002">
            <w:r w:rsidRPr="00247002">
              <w:t xml:space="preserve">-84.68 </w:t>
            </w:r>
            <w:proofErr w:type="spellStart"/>
            <w:r w:rsidRPr="00247002">
              <w:t>to</w:t>
            </w:r>
            <w:proofErr w:type="spellEnd"/>
            <w:r w:rsidRPr="00247002">
              <w:t xml:space="preserve"> 14.61</w:t>
            </w:r>
          </w:p>
        </w:tc>
        <w:tc>
          <w:tcPr>
            <w:tcW w:w="0" w:type="auto"/>
            <w:vAlign w:val="center"/>
            <w:hideMark/>
          </w:tcPr>
          <w:p w:rsidR="00247002" w:rsidRPr="00247002" w:rsidRDefault="00247002" w:rsidP="00247002">
            <w:r w:rsidRPr="00247002">
              <w:t>0.167</w:t>
            </w: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Age (per </w:t>
            </w:r>
            <w:proofErr w:type="spellStart"/>
            <w:r w:rsidRPr="00247002">
              <w:t>year</w:t>
            </w:r>
            <w:proofErr w:type="spellEnd"/>
            <w:r w:rsidRPr="00247002">
              <w:t>)</w:t>
            </w:r>
          </w:p>
        </w:tc>
        <w:tc>
          <w:tcPr>
            <w:tcW w:w="0" w:type="auto"/>
            <w:vAlign w:val="center"/>
            <w:hideMark/>
          </w:tcPr>
          <w:p w:rsidR="00247002" w:rsidRPr="00247002" w:rsidRDefault="00247002" w:rsidP="00247002">
            <w:r w:rsidRPr="00247002">
              <w:t>-1.13</w:t>
            </w:r>
          </w:p>
        </w:tc>
        <w:tc>
          <w:tcPr>
            <w:tcW w:w="0" w:type="auto"/>
            <w:vAlign w:val="center"/>
            <w:hideMark/>
          </w:tcPr>
          <w:p w:rsidR="00247002" w:rsidRPr="00247002" w:rsidRDefault="00247002" w:rsidP="00247002">
            <w:r w:rsidRPr="00247002">
              <w:t xml:space="preserve">-1.72 </w:t>
            </w:r>
            <w:proofErr w:type="spellStart"/>
            <w:r w:rsidRPr="00247002">
              <w:t>to</w:t>
            </w:r>
            <w:proofErr w:type="spellEnd"/>
            <w:r w:rsidRPr="00247002">
              <w:t xml:space="preserve"> -0.54</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Male sex</w:t>
            </w:r>
          </w:p>
        </w:tc>
        <w:tc>
          <w:tcPr>
            <w:tcW w:w="0" w:type="auto"/>
            <w:vAlign w:val="center"/>
            <w:hideMark/>
          </w:tcPr>
          <w:p w:rsidR="00247002" w:rsidRPr="00247002" w:rsidRDefault="00247002" w:rsidP="00247002">
            <w:r w:rsidRPr="00247002">
              <w:t>-132.89</w:t>
            </w:r>
          </w:p>
        </w:tc>
        <w:tc>
          <w:tcPr>
            <w:tcW w:w="0" w:type="auto"/>
            <w:vAlign w:val="center"/>
            <w:hideMark/>
          </w:tcPr>
          <w:p w:rsidR="00247002" w:rsidRPr="00247002" w:rsidRDefault="00247002" w:rsidP="00247002">
            <w:r w:rsidRPr="00247002">
              <w:t xml:space="preserve">-150.67 </w:t>
            </w:r>
            <w:proofErr w:type="spellStart"/>
            <w:r w:rsidRPr="00247002">
              <w:t>to</w:t>
            </w:r>
            <w:proofErr w:type="spellEnd"/>
            <w:r w:rsidRPr="00247002">
              <w:t xml:space="preserve"> -115.11</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Pr>
              <w:rPr>
                <w:lang w:val="en-US"/>
              </w:rPr>
            </w:pPr>
            <w:r w:rsidRPr="00247002">
              <w:rPr>
                <w:lang w:val="en-US"/>
              </w:rPr>
              <w:t>Length of stay (per day)</w:t>
            </w:r>
          </w:p>
        </w:tc>
        <w:tc>
          <w:tcPr>
            <w:tcW w:w="0" w:type="auto"/>
            <w:vAlign w:val="center"/>
            <w:hideMark/>
          </w:tcPr>
          <w:p w:rsidR="00247002" w:rsidRPr="00247002" w:rsidRDefault="00247002" w:rsidP="00247002">
            <w:r w:rsidRPr="00247002">
              <w:t>245.55</w:t>
            </w:r>
          </w:p>
        </w:tc>
        <w:tc>
          <w:tcPr>
            <w:tcW w:w="0" w:type="auto"/>
            <w:vAlign w:val="center"/>
            <w:hideMark/>
          </w:tcPr>
          <w:p w:rsidR="00247002" w:rsidRPr="00247002" w:rsidRDefault="00247002" w:rsidP="00247002">
            <w:r w:rsidRPr="00247002">
              <w:t xml:space="preserve">243.93 </w:t>
            </w:r>
            <w:proofErr w:type="spellStart"/>
            <w:r w:rsidRPr="00247002">
              <w:t>to</w:t>
            </w:r>
            <w:proofErr w:type="spellEnd"/>
            <w:r w:rsidRPr="00247002">
              <w:t xml:space="preserve"> 247.16</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Pr>
              <w:rPr>
                <w:lang w:val="en-US"/>
              </w:rPr>
            </w:pPr>
            <w:r w:rsidRPr="00247002">
              <w:rPr>
                <w:b/>
                <w:bCs/>
                <w:lang w:val="en-US"/>
              </w:rPr>
              <w:t>Fracture type (ref: Forearm/wrist)</w:t>
            </w:r>
          </w:p>
        </w:tc>
        <w:tc>
          <w:tcPr>
            <w:tcW w:w="0" w:type="auto"/>
            <w:vAlign w:val="center"/>
            <w:hideMark/>
          </w:tcPr>
          <w:p w:rsidR="00247002" w:rsidRPr="00247002" w:rsidRDefault="00247002" w:rsidP="00247002">
            <w:pPr>
              <w:rPr>
                <w:lang w:val="en-US"/>
              </w:rPr>
            </w:pPr>
          </w:p>
        </w:tc>
        <w:tc>
          <w:tcPr>
            <w:tcW w:w="0" w:type="auto"/>
            <w:vAlign w:val="center"/>
            <w:hideMark/>
          </w:tcPr>
          <w:p w:rsidR="00247002" w:rsidRPr="00247002" w:rsidRDefault="00247002" w:rsidP="00247002">
            <w:pPr>
              <w:rPr>
                <w:sz w:val="20"/>
                <w:szCs w:val="20"/>
                <w:lang w:val="en-US"/>
              </w:rPr>
            </w:pPr>
          </w:p>
        </w:tc>
        <w:tc>
          <w:tcPr>
            <w:tcW w:w="0" w:type="auto"/>
            <w:vAlign w:val="center"/>
            <w:hideMark/>
          </w:tcPr>
          <w:p w:rsidR="00247002" w:rsidRPr="00247002" w:rsidRDefault="00247002" w:rsidP="00247002">
            <w:pPr>
              <w:rPr>
                <w:sz w:val="20"/>
                <w:szCs w:val="20"/>
                <w:lang w:val="en-US"/>
              </w:rPr>
            </w:pPr>
          </w:p>
        </w:tc>
      </w:tr>
      <w:tr w:rsidR="00247002" w:rsidRPr="00247002" w:rsidTr="00247002">
        <w:trPr>
          <w:tblCellSpacing w:w="15" w:type="dxa"/>
        </w:trPr>
        <w:tc>
          <w:tcPr>
            <w:tcW w:w="0" w:type="auto"/>
            <w:vAlign w:val="center"/>
            <w:hideMark/>
          </w:tcPr>
          <w:p w:rsidR="00247002" w:rsidRPr="00247002" w:rsidRDefault="00247002" w:rsidP="00247002">
            <w:r w:rsidRPr="00247002">
              <w:t xml:space="preserve">Proximal </w:t>
            </w:r>
            <w:proofErr w:type="spellStart"/>
            <w:r w:rsidRPr="00247002">
              <w:t>femur</w:t>
            </w:r>
            <w:proofErr w:type="spellEnd"/>
          </w:p>
        </w:tc>
        <w:tc>
          <w:tcPr>
            <w:tcW w:w="0" w:type="auto"/>
            <w:vAlign w:val="center"/>
            <w:hideMark/>
          </w:tcPr>
          <w:p w:rsidR="00247002" w:rsidRPr="00247002" w:rsidRDefault="00247002" w:rsidP="00247002">
            <w:r w:rsidRPr="00247002">
              <w:t>522.70</w:t>
            </w:r>
          </w:p>
        </w:tc>
        <w:tc>
          <w:tcPr>
            <w:tcW w:w="0" w:type="auto"/>
            <w:vAlign w:val="center"/>
            <w:hideMark/>
          </w:tcPr>
          <w:p w:rsidR="00247002" w:rsidRPr="00247002" w:rsidRDefault="00247002" w:rsidP="00247002">
            <w:r w:rsidRPr="00247002">
              <w:t xml:space="preserve">491.55 </w:t>
            </w:r>
            <w:proofErr w:type="spellStart"/>
            <w:r w:rsidRPr="00247002">
              <w:t>to</w:t>
            </w:r>
            <w:proofErr w:type="spellEnd"/>
            <w:r w:rsidRPr="00247002">
              <w:t xml:space="preserve"> 553.84</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Hip/</w:t>
            </w:r>
            <w:proofErr w:type="spellStart"/>
            <w:r w:rsidRPr="00247002">
              <w:t>pelvis</w:t>
            </w:r>
            <w:proofErr w:type="spellEnd"/>
          </w:p>
        </w:tc>
        <w:tc>
          <w:tcPr>
            <w:tcW w:w="0" w:type="auto"/>
            <w:vAlign w:val="center"/>
            <w:hideMark/>
          </w:tcPr>
          <w:p w:rsidR="00247002" w:rsidRPr="00247002" w:rsidRDefault="00247002" w:rsidP="00247002">
            <w:r w:rsidRPr="00247002">
              <w:t>648.78</w:t>
            </w:r>
          </w:p>
        </w:tc>
        <w:tc>
          <w:tcPr>
            <w:tcW w:w="0" w:type="auto"/>
            <w:vAlign w:val="center"/>
            <w:hideMark/>
          </w:tcPr>
          <w:p w:rsidR="00247002" w:rsidRPr="00247002" w:rsidRDefault="00247002" w:rsidP="00247002">
            <w:r w:rsidRPr="00247002">
              <w:t xml:space="preserve">594.12 </w:t>
            </w:r>
            <w:proofErr w:type="spellStart"/>
            <w:r w:rsidRPr="00247002">
              <w:t>to</w:t>
            </w:r>
            <w:proofErr w:type="spellEnd"/>
            <w:r w:rsidRPr="00247002">
              <w:t xml:space="preserve"> 703.43</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proofErr w:type="spellStart"/>
            <w:r w:rsidRPr="00247002">
              <w:lastRenderedPageBreak/>
              <w:t>Humerus</w:t>
            </w:r>
            <w:proofErr w:type="spellEnd"/>
          </w:p>
        </w:tc>
        <w:tc>
          <w:tcPr>
            <w:tcW w:w="0" w:type="auto"/>
            <w:vAlign w:val="center"/>
            <w:hideMark/>
          </w:tcPr>
          <w:p w:rsidR="00247002" w:rsidRPr="00247002" w:rsidRDefault="00247002" w:rsidP="00247002">
            <w:r w:rsidRPr="00247002">
              <w:t>89.18</w:t>
            </w:r>
          </w:p>
        </w:tc>
        <w:tc>
          <w:tcPr>
            <w:tcW w:w="0" w:type="auto"/>
            <w:vAlign w:val="center"/>
            <w:hideMark/>
          </w:tcPr>
          <w:p w:rsidR="00247002" w:rsidRPr="00247002" w:rsidRDefault="00247002" w:rsidP="00247002">
            <w:r w:rsidRPr="00247002">
              <w:t xml:space="preserve">52.86 </w:t>
            </w:r>
            <w:proofErr w:type="spellStart"/>
            <w:r w:rsidRPr="00247002">
              <w:t>to</w:t>
            </w:r>
            <w:proofErr w:type="spellEnd"/>
            <w:r w:rsidRPr="00247002">
              <w:t xml:space="preserve"> 125.49</w:t>
            </w:r>
          </w:p>
        </w:tc>
        <w:tc>
          <w:tcPr>
            <w:tcW w:w="0" w:type="auto"/>
            <w:vAlign w:val="center"/>
            <w:hideMark/>
          </w:tcPr>
          <w:p w:rsidR="00247002" w:rsidRPr="00247002" w:rsidRDefault="00247002" w:rsidP="00247002">
            <w:r w:rsidRPr="00247002">
              <w:t>&lt;0.0001</w:t>
            </w:r>
          </w:p>
        </w:tc>
      </w:tr>
      <w:tr w:rsidR="00247002" w:rsidRPr="00247002" w:rsidTr="00247002">
        <w:trPr>
          <w:tblCellSpacing w:w="15" w:type="dxa"/>
        </w:trPr>
        <w:tc>
          <w:tcPr>
            <w:tcW w:w="0" w:type="auto"/>
            <w:vAlign w:val="center"/>
            <w:hideMark/>
          </w:tcPr>
          <w:p w:rsidR="00247002" w:rsidRPr="00247002" w:rsidRDefault="00247002" w:rsidP="00247002">
            <w:r w:rsidRPr="00247002">
              <w:t>Vertebra</w:t>
            </w:r>
          </w:p>
        </w:tc>
        <w:tc>
          <w:tcPr>
            <w:tcW w:w="0" w:type="auto"/>
            <w:vAlign w:val="center"/>
            <w:hideMark/>
          </w:tcPr>
          <w:p w:rsidR="00247002" w:rsidRPr="00247002" w:rsidRDefault="00247002" w:rsidP="00247002">
            <w:r w:rsidRPr="00247002">
              <w:t>-376.54</w:t>
            </w:r>
          </w:p>
        </w:tc>
        <w:tc>
          <w:tcPr>
            <w:tcW w:w="0" w:type="auto"/>
            <w:vAlign w:val="center"/>
            <w:hideMark/>
          </w:tcPr>
          <w:p w:rsidR="00247002" w:rsidRPr="00247002" w:rsidRDefault="00247002" w:rsidP="00247002">
            <w:r w:rsidRPr="00247002">
              <w:t xml:space="preserve">-449.81 </w:t>
            </w:r>
            <w:proofErr w:type="spellStart"/>
            <w:r w:rsidRPr="00247002">
              <w:t>to</w:t>
            </w:r>
            <w:proofErr w:type="spellEnd"/>
            <w:r w:rsidRPr="00247002">
              <w:t xml:space="preserve"> -303.27</w:t>
            </w:r>
          </w:p>
        </w:tc>
        <w:tc>
          <w:tcPr>
            <w:tcW w:w="0" w:type="auto"/>
            <w:vAlign w:val="center"/>
            <w:hideMark/>
          </w:tcPr>
          <w:p w:rsidR="00247002" w:rsidRPr="00247002" w:rsidRDefault="00247002" w:rsidP="00247002">
            <w:r w:rsidRPr="00247002">
              <w:t>&lt;0.0001</w:t>
            </w:r>
          </w:p>
        </w:tc>
      </w:tr>
    </w:tbl>
    <w:p w:rsidR="00247002" w:rsidRPr="00247002" w:rsidRDefault="00247002" w:rsidP="00247002">
      <w:pPr>
        <w:spacing w:before="100" w:beforeAutospacing="1" w:after="100" w:afterAutospacing="1"/>
        <w:rPr>
          <w:lang w:val="en-US"/>
        </w:rPr>
      </w:pPr>
      <w:r w:rsidRPr="00247002">
        <w:rPr>
          <w:lang w:val="en-US"/>
        </w:rPr>
        <w:t>Model statistics: R²=0.252, F-statistic=9,033 (p&lt;0.0001)</w:t>
      </w:r>
    </w:p>
    <w:p w:rsidR="00247002" w:rsidRPr="00247002" w:rsidRDefault="00247002" w:rsidP="00247002">
      <w:pPr>
        <w:spacing w:before="100" w:beforeAutospacing="1" w:after="100" w:afterAutospacing="1"/>
        <w:rPr>
          <w:lang w:val="en-US"/>
        </w:rPr>
      </w:pPr>
      <w:r w:rsidRPr="00247002">
        <w:rPr>
          <w:lang w:val="en-US"/>
        </w:rPr>
        <w:t>[INSERT FIGURE 4 HERE: Scatter plot with regression lines showing the relationship between length of stay (x-axis) and total costs (y-axis) for each fracture type. Different colors/symbols for each fracture type, with fitted regression lines showing the differential cost trajectories.]</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t>Discussion</w:t>
      </w:r>
    </w:p>
    <w:p w:rsidR="00247002" w:rsidRPr="00247002" w:rsidRDefault="00247002" w:rsidP="00247002">
      <w:pPr>
        <w:spacing w:before="100" w:beforeAutospacing="1" w:after="100" w:afterAutospacing="1"/>
        <w:rPr>
          <w:lang w:val="en-US"/>
        </w:rPr>
      </w:pPr>
      <w:r w:rsidRPr="00247002">
        <w:rPr>
          <w:lang w:val="en-US"/>
        </w:rPr>
        <w:t>This large cohort study of over 350,000 fragility fracture hospitalizations provides robust evidence for differential mortality risks and healthcare costs across fracture types. Our key finding—the significant interaction between age and fracture type on mortality—has important implications for clinical risk stratification and healthcare resource allocation.</w:t>
      </w:r>
    </w:p>
    <w:p w:rsidR="00247002" w:rsidRPr="00247002" w:rsidRDefault="00247002" w:rsidP="00247002">
      <w:pPr>
        <w:spacing w:before="100" w:beforeAutospacing="1" w:after="100" w:afterAutospacing="1"/>
        <w:rPr>
          <w:lang w:val="en-US"/>
        </w:rPr>
      </w:pPr>
      <w:r w:rsidRPr="00247002">
        <w:rPr>
          <w:lang w:val="en-US"/>
        </w:rPr>
        <w:t>The observed mortality gradient across fracture types aligns with previous international studies while providing new insights specific to the Brazilian population [5-7]. Hip/pelvis fractures demonstrated the highest mortality rate (7.47%), followed by proximal femur fractures (4.03%), substantially exceeding rates for peripheral fractures. This hierarchy reflects the greater physiological stress, surgical complexity, and comorbidity burden associated with central versus peripheral fractures [8].</w:t>
      </w:r>
    </w:p>
    <w:p w:rsidR="00247002" w:rsidRPr="00247002" w:rsidRDefault="00247002" w:rsidP="00254DF0">
      <w:pPr>
        <w:rPr>
          <w:lang w:val="en-US"/>
        </w:rPr>
      </w:pPr>
      <w:r w:rsidRPr="00247002">
        <w:rPr>
          <w:lang w:val="en-US"/>
        </w:rPr>
        <w:t>The novel interaction between age and fracture type represents a critical advancement in understanding fragility fracture outcomes. The amplified age-related mortality risk for proximal femur fractures (1.26% per year) compared to forearm/wrist fractures (0.76% per year) suggests that fracture location modifies the vulnerability conferred by aging. This finding supports the need for age- and fracture-specific risk calculators rather than generic fragility fracture assessment tools [9</w:t>
      </w:r>
      <w:proofErr w:type="gramStart"/>
      <w:r w:rsidRPr="00247002">
        <w:rPr>
          <w:lang w:val="en-US"/>
        </w:rPr>
        <w:t>].The</w:t>
      </w:r>
      <w:proofErr w:type="gramEnd"/>
      <w:r w:rsidRPr="00247002">
        <w:rPr>
          <w:lang w:val="en-US"/>
        </w:rPr>
        <w:t xml:space="preserve"> observed gender differences in mortality outcomes warrant discussion. While female patients predominated in the cohort (64.66%), male sex was associated with lower mortality odds (OR=0.762). This apparent paradox—higher fracture incidence in women but worse outcomes in men—has been noted in previous studies [10]. Potential explanations include gender-based differences in comorbidity profiles, pre-fracture functional status, and post-fracture care utilization.</w:t>
      </w:r>
      <w:r w:rsidR="00502C3C">
        <w:rPr>
          <w:lang w:val="en-US"/>
        </w:rPr>
        <w:t xml:space="preserve"> This</w:t>
      </w:r>
      <w:r w:rsidR="00502C3C" w:rsidRPr="00502C3C">
        <w:rPr>
          <w:lang w:val="en-US"/>
        </w:rPr>
        <w:t xml:space="preserve"> interesting finding </w:t>
      </w:r>
      <w:r w:rsidR="00502C3C">
        <w:rPr>
          <w:lang w:val="en-US"/>
        </w:rPr>
        <w:t xml:space="preserve">shows like a </w:t>
      </w:r>
      <w:r w:rsidR="00502C3C" w:rsidRPr="00502C3C">
        <w:rPr>
          <w:lang w:val="en-US"/>
        </w:rPr>
        <w:t>paradox regarding sex and mortality. While unadjusted mortality rates were slightly higher in males, after adjusting for age, fracture type, and other covariates in the multivariable model, male sex emerged as a protective factor. This suggests that the unadjusted higher mortality in males is likely confounded by other risk factors, such as differences in age at fracture or baseline health status, which are accounted for in the regression analysis.</w:t>
      </w:r>
      <w:r w:rsidR="00254DF0">
        <w:rPr>
          <w:lang w:val="en-US"/>
        </w:rPr>
        <w:br/>
      </w:r>
      <w:r w:rsidRPr="00247002">
        <w:rPr>
          <w:lang w:val="en-US"/>
        </w:rPr>
        <w:t xml:space="preserve">Our cost analysis revealed substantial economic implications of fragility fractures, with hospitalization costs nearly doubling for patients who died. The average burden per 1000 at risk was greatest in Argentina (32,583 USD), followed by Mexico (16,671 USD), Colombia (8240 USD), and Brazil (6130 USD) [11]. The strong association between costs and mortality likely reflects the increased resource utilization for sicker patients, including intensive care admissions, complications management, and </w:t>
      </w:r>
      <w:r w:rsidRPr="00247002">
        <w:rPr>
          <w:lang w:val="en-US"/>
        </w:rPr>
        <w:lastRenderedPageBreak/>
        <w:t>prolonged ventilatory support.</w:t>
      </w:r>
      <w:r w:rsidR="00254DF0">
        <w:rPr>
          <w:lang w:val="en-US"/>
        </w:rPr>
        <w:br/>
      </w:r>
      <w:r w:rsidRPr="00247002">
        <w:rPr>
          <w:lang w:val="en-US"/>
        </w:rPr>
        <w:t>The moderate explanatory power of our mortality model (pseudo R²=0.0766) highlights the multifactorial nature of post-fracture outcomes. Recent systematic reviews have identified additional preoperative predictors including ASA score ≥3, cognitive impairment, and specific comorbidities [12]. The absence of detailed comorbidity data in our dataset represents a significant limitation, as pre-fracture health status strongly influences outcomes [13].</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Clinical Implications</w:t>
      </w:r>
    </w:p>
    <w:p w:rsidR="00247002" w:rsidRPr="00247002" w:rsidRDefault="00247002" w:rsidP="00247002">
      <w:pPr>
        <w:spacing w:before="100" w:beforeAutospacing="1" w:after="100" w:afterAutospacing="1"/>
        <w:rPr>
          <w:lang w:val="en-US"/>
        </w:rPr>
      </w:pPr>
      <w:r w:rsidRPr="00247002">
        <w:rPr>
          <w:lang w:val="en-US"/>
        </w:rPr>
        <w:t>The differential mortality risk by fracture type has immediate implications for clinical practice. Risk stratification tools should incorporate fracture location as a key variable, with proximal femur and hip/pelvis fractures triggering enhanced perioperative protocols. The amplified age-related risk for proximal femur fractures supports age-specific care pathways, particularly for patients over 80 years where mortality risk escalates dramatically.</w:t>
      </w:r>
    </w:p>
    <w:p w:rsidR="00247002" w:rsidRPr="00247002" w:rsidRDefault="00247002" w:rsidP="00247002">
      <w:pPr>
        <w:spacing w:before="100" w:beforeAutospacing="1" w:after="100" w:afterAutospacing="1"/>
        <w:rPr>
          <w:lang w:val="en-US"/>
        </w:rPr>
      </w:pPr>
      <w:r w:rsidRPr="00247002">
        <w:rPr>
          <w:lang w:val="en-US"/>
        </w:rPr>
        <w:t>Recent meta-analyses support ortho-geriatric collaboration models to improve outcomes [14]. Our findings reinforce the need for such multidisciplinary approaches, particularly for high-risk fracture types. Early geriatric consultation, comprehensive geriatric assessment, and co-management models have demonstrated mortality reductions of 20-40% in specialized units [15].</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Healthcare System Considerations</w:t>
      </w:r>
    </w:p>
    <w:p w:rsidR="00247002" w:rsidRPr="00247002" w:rsidRDefault="00247002" w:rsidP="00247002">
      <w:pPr>
        <w:spacing w:before="100" w:beforeAutospacing="1" w:after="100" w:afterAutospacing="1"/>
        <w:rPr>
          <w:lang w:val="en-US"/>
        </w:rPr>
      </w:pPr>
      <w:r w:rsidRPr="00247002">
        <w:rPr>
          <w:lang w:val="en-US"/>
        </w:rPr>
        <w:t>The economic burden identified in our analysis—with median costs approaching R$2,000 for fatal cases—underscores the need for prevention strategies. Primary prevention through fall risk assessment, osteoporosis screening, and treatment could substantially reduce healthcare expenditures. Secondary prevention following initial fragility fractures is equally critical, as patients with prior fractures face significantly elevated risk of subsequent fractures [16].</w:t>
      </w:r>
    </w:p>
    <w:p w:rsidR="00247002" w:rsidRPr="00247002" w:rsidRDefault="00247002" w:rsidP="00247002">
      <w:pPr>
        <w:spacing w:before="100" w:beforeAutospacing="1" w:after="100" w:afterAutospacing="1"/>
        <w:rPr>
          <w:lang w:val="en-US"/>
        </w:rPr>
      </w:pPr>
      <w:r w:rsidRPr="00247002">
        <w:rPr>
          <w:lang w:val="en-US"/>
        </w:rPr>
        <w:t>The temporal trends in our data, showing consistent fracture rates from 2019-2023 (excluding 2022), suggest that current prevention efforts may be insufficient. Population aging will likely increase absolute fracture numbers despite stable age-adjusted rates, necessitating healthcare system adaptations.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Study Strengths and Limitations</w:t>
      </w:r>
    </w:p>
    <w:p w:rsidR="00247002" w:rsidRPr="00247002" w:rsidRDefault="00247002" w:rsidP="00247002">
      <w:pPr>
        <w:spacing w:before="100" w:beforeAutospacing="1" w:after="100" w:afterAutospacing="1"/>
        <w:rPr>
          <w:lang w:val="en-US"/>
        </w:rPr>
      </w:pPr>
      <w:r w:rsidRPr="00247002">
        <w:rPr>
          <w:lang w:val="en-US"/>
        </w:rPr>
        <w:t>This study's primary strength lies in its comprehensive coverage of the Brazilian public health system, capturing over 350,000 fracture events. The large sample size enabled robust statistical modeling, including interaction analyses rarely feasible in smaller cohorts. The use of administrative data ensures complete capture of in-hospital outcomes within the public system.</w:t>
      </w:r>
    </w:p>
    <w:p w:rsidR="00247002" w:rsidRPr="00247002" w:rsidRDefault="00247002" w:rsidP="00247002">
      <w:pPr>
        <w:spacing w:before="100" w:beforeAutospacing="1" w:after="100" w:afterAutospacing="1"/>
        <w:rPr>
          <w:lang w:val="en-US"/>
        </w:rPr>
      </w:pPr>
      <w:r w:rsidRPr="00247002">
        <w:rPr>
          <w:lang w:val="en-US"/>
        </w:rPr>
        <w:t xml:space="preserve">However, several limitations merit consideration. First, the administrative nature of the data precluded detailed clinical information such as fracture severity, surgical timing, or specific complications. Second, the absence of post-discharge follow-up limits mortality assessment to the acute hospitalization period, potentially underestimating true 30-day and one-year mortality rates. Recent literature suggests one-year mortality rates of </w:t>
      </w:r>
      <w:r w:rsidRPr="00247002">
        <w:rPr>
          <w:lang w:val="en-US"/>
        </w:rPr>
        <w:lastRenderedPageBreak/>
        <w:t>approximately 22% for hip fractures [17], substantially higher than our observed in-hospital rate.</w:t>
      </w:r>
    </w:p>
    <w:p w:rsidR="00247002" w:rsidRPr="00247002" w:rsidRDefault="00247002" w:rsidP="00247002">
      <w:pPr>
        <w:spacing w:before="100" w:beforeAutospacing="1" w:after="100" w:afterAutospacing="1"/>
        <w:rPr>
          <w:lang w:val="en-US"/>
        </w:rPr>
      </w:pPr>
      <w:r w:rsidRPr="00247002">
        <w:rPr>
          <w:lang w:val="en-US"/>
        </w:rPr>
        <w:t>Third, the coding of osteoporosis in only 0.03% of cases likely reflects significant under-documentation rather than true prevalence. Fourth, the uniform "Not classified" coding for regional data prevented geographic analyses that could identify care disparities. Finally, our analysis was restricted to public hospital admissions, potentially missing patients treated in private facilities who may have different risk profiles and outcomes.</w:t>
      </w:r>
    </w:p>
    <w:p w:rsidR="00247002" w:rsidRPr="00247002" w:rsidRDefault="00247002" w:rsidP="00247002">
      <w:pPr>
        <w:spacing w:before="100" w:beforeAutospacing="1" w:after="100" w:afterAutospacing="1"/>
        <w:outlineLvl w:val="2"/>
        <w:rPr>
          <w:b/>
          <w:bCs/>
          <w:sz w:val="27"/>
          <w:szCs w:val="27"/>
          <w:lang w:val="en-US"/>
        </w:rPr>
      </w:pPr>
      <w:r w:rsidRPr="00247002">
        <w:rPr>
          <w:b/>
          <w:bCs/>
          <w:sz w:val="27"/>
          <w:szCs w:val="27"/>
          <w:lang w:val="en-US"/>
        </w:rPr>
        <w:t>Future Directions</w:t>
      </w:r>
    </w:p>
    <w:p w:rsidR="00247002" w:rsidRPr="00247002" w:rsidRDefault="00247002" w:rsidP="00247002">
      <w:pPr>
        <w:spacing w:before="100" w:beforeAutospacing="1" w:after="100" w:afterAutospacing="1"/>
        <w:rPr>
          <w:lang w:val="en-US"/>
        </w:rPr>
      </w:pPr>
      <w:r w:rsidRPr="00247002">
        <w:rPr>
          <w:lang w:val="en-US"/>
        </w:rPr>
        <w:t>Our findings highlight several priorities for future research. Prospective studies incorporating detailed clinical data, including frailty assessments, comorbidity indices, and post-discharge outcomes, would enhance risk prediction. Investigation of the mechanisms underlying the age-fracture type interaction could inform targeted interventions. Economic analyses incorporating indirect costs and quality-adjusted life years would provide a more complete picture of fracture burden.</w:t>
      </w:r>
    </w:p>
    <w:p w:rsidR="00247002" w:rsidRPr="00247002" w:rsidRDefault="00247002" w:rsidP="00247002">
      <w:pPr>
        <w:spacing w:before="100" w:beforeAutospacing="1" w:after="100" w:afterAutospacing="1"/>
        <w:rPr>
          <w:lang w:val="en-US"/>
        </w:rPr>
      </w:pPr>
      <w:r w:rsidRPr="00247002">
        <w:rPr>
          <w:lang w:val="en-US"/>
        </w:rPr>
        <w:t>Development of fracture-specific clinical pathways, informed by the differential risks identified here, represents an immediate opportunity for quality improvement. Integration of our findings into clinical decision support systems could facilitate real-time risk stratification and resource allocation.</w:t>
      </w:r>
    </w:p>
    <w:p w:rsidR="00247002" w:rsidRPr="00247002" w:rsidRDefault="00247002" w:rsidP="00247002">
      <w:pPr>
        <w:spacing w:before="100" w:beforeAutospacing="1" w:after="100" w:afterAutospacing="1"/>
        <w:outlineLvl w:val="1"/>
        <w:rPr>
          <w:b/>
          <w:bCs/>
          <w:sz w:val="36"/>
          <w:szCs w:val="36"/>
          <w:lang w:val="en-US"/>
        </w:rPr>
      </w:pPr>
      <w:r w:rsidRPr="00247002">
        <w:rPr>
          <w:b/>
          <w:bCs/>
          <w:sz w:val="36"/>
          <w:szCs w:val="36"/>
          <w:lang w:val="en-US"/>
        </w:rPr>
        <w:t>Conclusions</w:t>
      </w:r>
    </w:p>
    <w:p w:rsidR="00247002" w:rsidRPr="00247002" w:rsidRDefault="00247002" w:rsidP="00247002">
      <w:pPr>
        <w:spacing w:before="100" w:beforeAutospacing="1" w:after="100" w:afterAutospacing="1"/>
        <w:rPr>
          <w:lang w:val="en-US"/>
        </w:rPr>
      </w:pPr>
      <w:r w:rsidRPr="00247002">
        <w:rPr>
          <w:lang w:val="en-US"/>
        </w:rPr>
        <w:t>This large cohort study demonstrates that fragility fracture outcomes vary substantially by anatomical location, with hip/pelvis and proximal femur fractures carrying the highest mortality risk. The novel finding of a significant interaction between age and fracture type indicates that the vulnerability conferred by aging is amplified in patients with central skeletal fractures. These differential risks support the development of fracture-specific management protocols and risk stratification tools.</w:t>
      </w:r>
    </w:p>
    <w:p w:rsidR="00247002" w:rsidRPr="00247002" w:rsidRDefault="00247002" w:rsidP="00247002">
      <w:pPr>
        <w:spacing w:before="100" w:beforeAutospacing="1" w:after="100" w:afterAutospacing="1"/>
        <w:rPr>
          <w:lang w:val="en-US"/>
        </w:rPr>
      </w:pPr>
      <w:r w:rsidRPr="00247002">
        <w:rPr>
          <w:lang w:val="en-US"/>
        </w:rPr>
        <w:t>The substantial economic burden associated with fragility fractures, particularly for patients with adverse outcomes, reinforces the importance of prevention strategies and optimized acute care pathways. As population aging accelerates worldwide, addressing the heterogeneous risks within fragility fracture populations becomes increasingly critical for healthcare systems. Our findings provide an evidence base for targeted interventions aimed at reducing mortality and costs in this vulnerable population.</w:t>
      </w:r>
    </w:p>
    <w:p w:rsidR="00247002" w:rsidRPr="00247002" w:rsidRDefault="00247002" w:rsidP="00247002">
      <w:pPr>
        <w:spacing w:before="100" w:beforeAutospacing="1" w:after="100" w:afterAutospacing="1"/>
        <w:outlineLvl w:val="1"/>
        <w:rPr>
          <w:b/>
          <w:bCs/>
          <w:sz w:val="36"/>
          <w:szCs w:val="36"/>
        </w:rPr>
      </w:pPr>
      <w:proofErr w:type="spellStart"/>
      <w:r w:rsidRPr="00247002">
        <w:rPr>
          <w:b/>
          <w:bCs/>
          <w:sz w:val="36"/>
          <w:szCs w:val="36"/>
        </w:rPr>
        <w:t>References</w:t>
      </w:r>
      <w:proofErr w:type="spellEnd"/>
    </w:p>
    <w:p w:rsidR="00247002" w:rsidRPr="00247002" w:rsidRDefault="00247002" w:rsidP="00247002">
      <w:pPr>
        <w:numPr>
          <w:ilvl w:val="0"/>
          <w:numId w:val="2"/>
        </w:numPr>
        <w:spacing w:before="100" w:beforeAutospacing="1" w:after="100" w:afterAutospacing="1"/>
      </w:pPr>
      <w:proofErr w:type="spellStart"/>
      <w:r w:rsidRPr="00247002">
        <w:rPr>
          <w:lang w:val="en-US"/>
        </w:rPr>
        <w:t>Kanis</w:t>
      </w:r>
      <w:proofErr w:type="spellEnd"/>
      <w:r w:rsidRPr="00247002">
        <w:rPr>
          <w:lang w:val="en-US"/>
        </w:rPr>
        <w:t xml:space="preserve"> JA, Norton N, Harvey NC, et al. SCOPE 2021: a new scorecard for osteoporosis in Europe. </w:t>
      </w:r>
      <w:proofErr w:type="spellStart"/>
      <w:r w:rsidRPr="00247002">
        <w:t>Arch</w:t>
      </w:r>
      <w:proofErr w:type="spellEnd"/>
      <w:r w:rsidRPr="00247002">
        <w:t xml:space="preserve"> </w:t>
      </w:r>
      <w:proofErr w:type="spellStart"/>
      <w:r w:rsidRPr="00247002">
        <w:t>Osteoporos</w:t>
      </w:r>
      <w:proofErr w:type="spellEnd"/>
      <w:r w:rsidRPr="00247002">
        <w:t>. 2021;16(1):82. 10.1007/s11657-020-00871-9</w:t>
      </w:r>
    </w:p>
    <w:p w:rsidR="00247002" w:rsidRPr="00247002" w:rsidRDefault="00247002" w:rsidP="00247002">
      <w:pPr>
        <w:numPr>
          <w:ilvl w:val="0"/>
          <w:numId w:val="2"/>
        </w:numPr>
        <w:spacing w:before="100" w:beforeAutospacing="1" w:after="100" w:afterAutospacing="1"/>
      </w:pPr>
      <w:proofErr w:type="spellStart"/>
      <w:r w:rsidRPr="00247002">
        <w:t>Domiciano</w:t>
      </w:r>
      <w:proofErr w:type="spellEnd"/>
      <w:r w:rsidRPr="00247002">
        <w:t xml:space="preserve"> DS, Machado LG, Figueiredo CP, et al. </w:t>
      </w:r>
      <w:r w:rsidRPr="00247002">
        <w:rPr>
          <w:lang w:val="en-US"/>
        </w:rPr>
        <w:t xml:space="preserve">Incidence and risk factors for osteoporotic non-vertebral fracture in low-income community-dwelling elderly: a population-based prospective cohort study in Brazil. The São Paulo </w:t>
      </w:r>
      <w:r w:rsidRPr="00247002">
        <w:rPr>
          <w:lang w:val="en-US"/>
        </w:rPr>
        <w:lastRenderedPageBreak/>
        <w:t xml:space="preserve">Ageing and Health (SPAH) study. </w:t>
      </w:r>
      <w:proofErr w:type="spellStart"/>
      <w:r w:rsidRPr="00247002">
        <w:rPr>
          <w:lang w:val="en-US"/>
        </w:rPr>
        <w:t>Osteoporos</w:t>
      </w:r>
      <w:proofErr w:type="spellEnd"/>
      <w:r w:rsidRPr="00247002">
        <w:rPr>
          <w:lang w:val="en-US"/>
        </w:rPr>
        <w:t xml:space="preserve"> Int. 2021;32(4):747-757. </w:t>
      </w:r>
      <w:r w:rsidRPr="00247002">
        <w:t>10.1007/s00198-020-05669-6</w:t>
      </w:r>
    </w:p>
    <w:p w:rsidR="00247002" w:rsidRPr="00247002" w:rsidRDefault="00247002" w:rsidP="00247002">
      <w:pPr>
        <w:numPr>
          <w:ilvl w:val="0"/>
          <w:numId w:val="2"/>
        </w:numPr>
        <w:spacing w:before="100" w:beforeAutospacing="1" w:after="100" w:afterAutospacing="1"/>
      </w:pPr>
      <w:proofErr w:type="spellStart"/>
      <w:r w:rsidRPr="00247002">
        <w:rPr>
          <w:lang w:val="en-US"/>
        </w:rPr>
        <w:t>Haentjens</w:t>
      </w:r>
      <w:proofErr w:type="spellEnd"/>
      <w:r w:rsidRPr="00247002">
        <w:rPr>
          <w:lang w:val="en-US"/>
        </w:rPr>
        <w:t xml:space="preserve"> P, </w:t>
      </w:r>
      <w:proofErr w:type="spellStart"/>
      <w:r w:rsidRPr="00247002">
        <w:rPr>
          <w:lang w:val="en-US"/>
        </w:rPr>
        <w:t>Magaziner</w:t>
      </w:r>
      <w:proofErr w:type="spellEnd"/>
      <w:r w:rsidRPr="00247002">
        <w:rPr>
          <w:lang w:val="en-US"/>
        </w:rPr>
        <w:t xml:space="preserve"> J, Colón-</w:t>
      </w:r>
      <w:proofErr w:type="spellStart"/>
      <w:r w:rsidRPr="00247002">
        <w:rPr>
          <w:lang w:val="en-US"/>
        </w:rPr>
        <w:t>Emeric</w:t>
      </w:r>
      <w:proofErr w:type="spellEnd"/>
      <w:r w:rsidRPr="00247002">
        <w:rPr>
          <w:lang w:val="en-US"/>
        </w:rPr>
        <w:t xml:space="preserve"> CS, et al. Meta-analysis: excess mortality after hip fracture among older women and men. </w:t>
      </w:r>
      <w:r w:rsidRPr="00247002">
        <w:t xml:space="preserve">Ann </w:t>
      </w:r>
      <w:proofErr w:type="spellStart"/>
      <w:r w:rsidRPr="00247002">
        <w:t>Intern</w:t>
      </w:r>
      <w:proofErr w:type="spellEnd"/>
      <w:r w:rsidRPr="00247002">
        <w:t xml:space="preserve"> Med. 2010;152(6):380-390. 10.7326/0003-4819-152-6-201003160-00008</w:t>
      </w:r>
    </w:p>
    <w:p w:rsidR="00247002" w:rsidRPr="00247002" w:rsidRDefault="00247002" w:rsidP="00247002">
      <w:pPr>
        <w:numPr>
          <w:ilvl w:val="0"/>
          <w:numId w:val="2"/>
        </w:numPr>
        <w:spacing w:before="100" w:beforeAutospacing="1" w:after="100" w:afterAutospacing="1"/>
      </w:pPr>
      <w:r w:rsidRPr="00247002">
        <w:rPr>
          <w:lang w:val="en-US"/>
        </w:rPr>
        <w:t xml:space="preserve">Williamson S, </w:t>
      </w:r>
      <w:proofErr w:type="spellStart"/>
      <w:r w:rsidRPr="00247002">
        <w:rPr>
          <w:lang w:val="en-US"/>
        </w:rPr>
        <w:t>Landeiro</w:t>
      </w:r>
      <w:proofErr w:type="spellEnd"/>
      <w:r w:rsidRPr="00247002">
        <w:rPr>
          <w:lang w:val="en-US"/>
        </w:rPr>
        <w:t xml:space="preserve"> F, McConnell T, et al. Costs of fragility hip fractures globally: a systematic review and meta-regression analysis. </w:t>
      </w:r>
      <w:proofErr w:type="spellStart"/>
      <w:r w:rsidRPr="00247002">
        <w:t>Osteoporos</w:t>
      </w:r>
      <w:proofErr w:type="spellEnd"/>
      <w:r w:rsidRPr="00247002">
        <w:t xml:space="preserve"> Int. 2017;28(10):2791-2800. 10.1007/s00198-017-4153-6</w:t>
      </w:r>
    </w:p>
    <w:p w:rsidR="00247002" w:rsidRPr="00247002" w:rsidRDefault="00247002" w:rsidP="00247002">
      <w:pPr>
        <w:numPr>
          <w:ilvl w:val="0"/>
          <w:numId w:val="2"/>
        </w:numPr>
        <w:spacing w:before="100" w:beforeAutospacing="1" w:after="100" w:afterAutospacing="1"/>
      </w:pPr>
      <w:proofErr w:type="spellStart"/>
      <w:r w:rsidRPr="00247002">
        <w:rPr>
          <w:lang w:val="en-US"/>
        </w:rPr>
        <w:t>Kanis</w:t>
      </w:r>
      <w:proofErr w:type="spellEnd"/>
      <w:r w:rsidRPr="00247002">
        <w:rPr>
          <w:lang w:val="en-US"/>
        </w:rPr>
        <w:t xml:space="preserve"> JA, </w:t>
      </w:r>
      <w:proofErr w:type="spellStart"/>
      <w:r w:rsidRPr="00247002">
        <w:rPr>
          <w:lang w:val="en-US"/>
        </w:rPr>
        <w:t>Odén</w:t>
      </w:r>
      <w:proofErr w:type="spellEnd"/>
      <w:r w:rsidRPr="00247002">
        <w:rPr>
          <w:lang w:val="en-US"/>
        </w:rPr>
        <w:t xml:space="preserve"> A, McCloskey EV, et al. A systematic review of hip fracture incidence and probability of fracture worldwide. </w:t>
      </w:r>
      <w:proofErr w:type="spellStart"/>
      <w:r w:rsidRPr="00247002">
        <w:t>Osteoporos</w:t>
      </w:r>
      <w:proofErr w:type="spellEnd"/>
      <w:r w:rsidRPr="00247002">
        <w:t xml:space="preserve"> Int. 2012;23(9):2239-2256. 10.1007/s00198-012-1964-3</w:t>
      </w:r>
    </w:p>
    <w:p w:rsidR="00247002" w:rsidRPr="00247002" w:rsidRDefault="00247002" w:rsidP="00247002">
      <w:pPr>
        <w:numPr>
          <w:ilvl w:val="0"/>
          <w:numId w:val="2"/>
        </w:numPr>
        <w:spacing w:before="100" w:beforeAutospacing="1" w:after="100" w:afterAutospacing="1"/>
      </w:pPr>
      <w:r w:rsidRPr="00247002">
        <w:rPr>
          <w:lang w:val="en-US"/>
        </w:rPr>
        <w:t xml:space="preserve">Schwartz AV, Kelsey JL, Maggi S, et al. International variation in the incidence of hip fractures: cross-national project on osteoporosis for the World Health Organization Program for Research on Aging. </w:t>
      </w:r>
      <w:proofErr w:type="spellStart"/>
      <w:r w:rsidRPr="00247002">
        <w:t>Osteoporos</w:t>
      </w:r>
      <w:proofErr w:type="spellEnd"/>
      <w:r w:rsidRPr="00247002">
        <w:t xml:space="preserve"> Int. 1999;9(3):242-253. 10.1007/s001980050144</w:t>
      </w:r>
    </w:p>
    <w:p w:rsidR="00247002" w:rsidRPr="00247002" w:rsidRDefault="00247002" w:rsidP="00247002">
      <w:pPr>
        <w:numPr>
          <w:ilvl w:val="0"/>
          <w:numId w:val="2"/>
        </w:numPr>
        <w:spacing w:before="100" w:beforeAutospacing="1" w:after="100" w:afterAutospacing="1"/>
        <w:rPr>
          <w:lang w:val="en-US"/>
        </w:rPr>
      </w:pPr>
      <w:r w:rsidRPr="00247002">
        <w:rPr>
          <w:lang w:val="en-US"/>
        </w:rPr>
        <w:t xml:space="preserve">Friedman SM, Mendelson DA. Epidemiology of fragility fractures. Clin </w:t>
      </w:r>
      <w:proofErr w:type="spellStart"/>
      <w:r w:rsidRPr="00247002">
        <w:rPr>
          <w:lang w:val="en-US"/>
        </w:rPr>
        <w:t>Geriatr</w:t>
      </w:r>
      <w:proofErr w:type="spellEnd"/>
      <w:r w:rsidRPr="00247002">
        <w:rPr>
          <w:lang w:val="en-US"/>
        </w:rPr>
        <w:t xml:space="preserve"> Med. 2014;30(2):175-181. 10.1016/j.cger.2014.01.001</w:t>
      </w:r>
    </w:p>
    <w:p w:rsidR="00247002" w:rsidRPr="00247002" w:rsidRDefault="00247002" w:rsidP="00247002">
      <w:pPr>
        <w:numPr>
          <w:ilvl w:val="0"/>
          <w:numId w:val="2"/>
        </w:numPr>
        <w:spacing w:before="100" w:beforeAutospacing="1" w:after="100" w:afterAutospacing="1"/>
      </w:pPr>
      <w:r w:rsidRPr="00247002">
        <w:t xml:space="preserve">Borges FK, </w:t>
      </w:r>
      <w:proofErr w:type="spellStart"/>
      <w:r w:rsidRPr="00247002">
        <w:t>Bhandari</w:t>
      </w:r>
      <w:proofErr w:type="spellEnd"/>
      <w:r w:rsidRPr="00247002">
        <w:t xml:space="preserve"> M, Guerra-</w:t>
      </w:r>
      <w:proofErr w:type="spellStart"/>
      <w:r w:rsidRPr="00247002">
        <w:t>Farfan</w:t>
      </w:r>
      <w:proofErr w:type="spellEnd"/>
      <w:r w:rsidRPr="00247002">
        <w:t xml:space="preserve"> E, et al. </w:t>
      </w:r>
      <w:r w:rsidRPr="00247002">
        <w:rPr>
          <w:lang w:val="en-US"/>
        </w:rPr>
        <w:t xml:space="preserve">Accelerated surgery versus standard care in hip fracture (HIP ATTACK): an international, </w:t>
      </w:r>
      <w:proofErr w:type="spellStart"/>
      <w:r w:rsidRPr="00247002">
        <w:rPr>
          <w:lang w:val="en-US"/>
        </w:rPr>
        <w:t>randomised</w:t>
      </w:r>
      <w:proofErr w:type="spellEnd"/>
      <w:r w:rsidRPr="00247002">
        <w:rPr>
          <w:lang w:val="en-US"/>
        </w:rPr>
        <w:t xml:space="preserve">, controlled trial. </w:t>
      </w:r>
      <w:r w:rsidRPr="00247002">
        <w:t>Lancet. 2020;395(10225):698-708. 10.1016/S0140-6736(20)30058-1</w:t>
      </w:r>
    </w:p>
    <w:p w:rsidR="00247002" w:rsidRPr="00247002" w:rsidRDefault="00247002" w:rsidP="00247002">
      <w:pPr>
        <w:numPr>
          <w:ilvl w:val="0"/>
          <w:numId w:val="2"/>
        </w:numPr>
        <w:spacing w:before="100" w:beforeAutospacing="1" w:after="100" w:afterAutospacing="1"/>
      </w:pPr>
      <w:proofErr w:type="spellStart"/>
      <w:r w:rsidRPr="00247002">
        <w:t>Moja</w:t>
      </w:r>
      <w:proofErr w:type="spellEnd"/>
      <w:r w:rsidRPr="00247002">
        <w:t xml:space="preserve"> L, </w:t>
      </w:r>
      <w:proofErr w:type="spellStart"/>
      <w:r w:rsidRPr="00247002">
        <w:t>Piatti</w:t>
      </w:r>
      <w:proofErr w:type="spellEnd"/>
      <w:r w:rsidRPr="00247002">
        <w:t xml:space="preserve"> A, </w:t>
      </w:r>
      <w:proofErr w:type="spellStart"/>
      <w:r w:rsidRPr="00247002">
        <w:t>Pecoraro</w:t>
      </w:r>
      <w:proofErr w:type="spellEnd"/>
      <w:r w:rsidRPr="00247002">
        <w:t xml:space="preserve"> V, et al. </w:t>
      </w:r>
      <w:r w:rsidRPr="00247002">
        <w:rPr>
          <w:lang w:val="en-US"/>
        </w:rPr>
        <w:t xml:space="preserve">Timing matters in hip fracture surgery: patients operated within 48 hours have better outcomes. A meta-analysis and meta-regression of over 190,000 patients. </w:t>
      </w:r>
      <w:proofErr w:type="spellStart"/>
      <w:r w:rsidRPr="00247002">
        <w:rPr>
          <w:lang w:val="en-US"/>
        </w:rPr>
        <w:t>PLoS</w:t>
      </w:r>
      <w:proofErr w:type="spellEnd"/>
      <w:r w:rsidRPr="00247002">
        <w:rPr>
          <w:lang w:val="en-US"/>
        </w:rPr>
        <w:t xml:space="preserve"> One. 2012;7(10</w:t>
      </w:r>
      <w:proofErr w:type="gramStart"/>
      <w:r w:rsidRPr="00247002">
        <w:rPr>
          <w:lang w:val="en-US"/>
        </w:rPr>
        <w:t>):e</w:t>
      </w:r>
      <w:proofErr w:type="gramEnd"/>
      <w:r w:rsidRPr="00247002">
        <w:rPr>
          <w:lang w:val="en-US"/>
        </w:rPr>
        <w:t xml:space="preserve">46175. </w:t>
      </w:r>
      <w:r w:rsidRPr="00247002">
        <w:t>10.1371/journal.pone.0046175</w:t>
      </w:r>
    </w:p>
    <w:p w:rsidR="00247002" w:rsidRPr="00247002" w:rsidRDefault="00247002" w:rsidP="00247002">
      <w:pPr>
        <w:numPr>
          <w:ilvl w:val="0"/>
          <w:numId w:val="2"/>
        </w:numPr>
        <w:spacing w:before="100" w:beforeAutospacing="1" w:after="100" w:afterAutospacing="1"/>
      </w:pPr>
      <w:r w:rsidRPr="00247002">
        <w:rPr>
          <w:lang w:val="en-US"/>
        </w:rPr>
        <w:t xml:space="preserve">Sterling RS. Gender and race/ethnicity differences in hip fracture incidence, morbidity, mortality, and function. </w:t>
      </w:r>
      <w:proofErr w:type="spellStart"/>
      <w:r w:rsidRPr="00247002">
        <w:t>Clin</w:t>
      </w:r>
      <w:proofErr w:type="spellEnd"/>
      <w:r w:rsidRPr="00247002">
        <w:t xml:space="preserve"> </w:t>
      </w:r>
      <w:proofErr w:type="spellStart"/>
      <w:r w:rsidRPr="00247002">
        <w:t>Orthop</w:t>
      </w:r>
      <w:proofErr w:type="spellEnd"/>
      <w:r w:rsidRPr="00247002">
        <w:t xml:space="preserve"> </w:t>
      </w:r>
      <w:proofErr w:type="spellStart"/>
      <w:r w:rsidRPr="00247002">
        <w:t>Relat</w:t>
      </w:r>
      <w:proofErr w:type="spellEnd"/>
      <w:r w:rsidRPr="00247002">
        <w:t xml:space="preserve"> Res. 2011;469(7):1913-1918. 10.1007/s11999-010-1736-3</w:t>
      </w:r>
    </w:p>
    <w:p w:rsidR="00247002" w:rsidRPr="00247002" w:rsidRDefault="00247002" w:rsidP="00247002">
      <w:pPr>
        <w:numPr>
          <w:ilvl w:val="0"/>
          <w:numId w:val="2"/>
        </w:numPr>
        <w:spacing w:before="100" w:beforeAutospacing="1" w:after="100" w:afterAutospacing="1"/>
      </w:pPr>
      <w:proofErr w:type="spellStart"/>
      <w:r w:rsidRPr="00247002">
        <w:t>Aziziyeh</w:t>
      </w:r>
      <w:proofErr w:type="spellEnd"/>
      <w:r w:rsidRPr="00247002">
        <w:t xml:space="preserve"> R, Amin M, </w:t>
      </w:r>
      <w:proofErr w:type="spellStart"/>
      <w:r w:rsidRPr="00247002">
        <w:t>Habib</w:t>
      </w:r>
      <w:proofErr w:type="spellEnd"/>
      <w:r w:rsidRPr="00247002">
        <w:t xml:space="preserve"> M, et al. </w:t>
      </w:r>
      <w:r w:rsidRPr="00247002">
        <w:rPr>
          <w:lang w:val="en-US"/>
        </w:rPr>
        <w:t xml:space="preserve">The burden of osteoporosis in four Latin American countries: Brazil, Mexico, Colombia, and Argentina. </w:t>
      </w:r>
      <w:r w:rsidRPr="00247002">
        <w:t xml:space="preserve">J </w:t>
      </w:r>
      <w:proofErr w:type="spellStart"/>
      <w:r w:rsidRPr="00247002">
        <w:t>Med</w:t>
      </w:r>
      <w:proofErr w:type="spellEnd"/>
      <w:r w:rsidRPr="00247002">
        <w:t xml:space="preserve"> Econ. 2019;22(7):638-644. 10.1080/13696998.2019.1590843</w:t>
      </w:r>
    </w:p>
    <w:p w:rsidR="00247002" w:rsidRPr="00247002" w:rsidRDefault="00247002" w:rsidP="00247002">
      <w:pPr>
        <w:numPr>
          <w:ilvl w:val="0"/>
          <w:numId w:val="2"/>
        </w:numPr>
        <w:spacing w:before="100" w:beforeAutospacing="1" w:after="100" w:afterAutospacing="1"/>
      </w:pPr>
      <w:r w:rsidRPr="00247002">
        <w:rPr>
          <w:lang w:val="en-US"/>
        </w:rPr>
        <w:t xml:space="preserve">Bui M, </w:t>
      </w:r>
      <w:proofErr w:type="spellStart"/>
      <w:r w:rsidRPr="00247002">
        <w:rPr>
          <w:lang w:val="en-US"/>
        </w:rPr>
        <w:t>Nijmeijer</w:t>
      </w:r>
      <w:proofErr w:type="spellEnd"/>
      <w:r w:rsidRPr="00247002">
        <w:rPr>
          <w:lang w:val="en-US"/>
        </w:rPr>
        <w:t xml:space="preserve"> WS, </w:t>
      </w:r>
      <w:proofErr w:type="spellStart"/>
      <w:r w:rsidRPr="00247002">
        <w:rPr>
          <w:lang w:val="en-US"/>
        </w:rPr>
        <w:t>Hegeman</w:t>
      </w:r>
      <w:proofErr w:type="spellEnd"/>
      <w:r w:rsidRPr="00247002">
        <w:rPr>
          <w:lang w:val="en-US"/>
        </w:rPr>
        <w:t xml:space="preserve"> JH, et al. Systematic review and meta-analysis of preoperative predictors for early mortality following hip fracture surgery. </w:t>
      </w:r>
      <w:proofErr w:type="spellStart"/>
      <w:r w:rsidRPr="00247002">
        <w:t>Osteoporos</w:t>
      </w:r>
      <w:proofErr w:type="spellEnd"/>
      <w:r w:rsidRPr="00247002">
        <w:t xml:space="preserve"> Int. 2024;35(3):561-574. 10.1007/s00198-023-06942-0</w:t>
      </w:r>
    </w:p>
    <w:p w:rsidR="00247002" w:rsidRPr="00247002" w:rsidRDefault="00247002" w:rsidP="00247002">
      <w:pPr>
        <w:numPr>
          <w:ilvl w:val="0"/>
          <w:numId w:val="2"/>
        </w:numPr>
        <w:spacing w:before="100" w:beforeAutospacing="1" w:after="100" w:afterAutospacing="1"/>
      </w:pPr>
      <w:r w:rsidRPr="00247002">
        <w:rPr>
          <w:lang w:val="en-US"/>
        </w:rPr>
        <w:t xml:space="preserve">Lunde A, Tell GS, Pedersen AB, et al. The role of comorbidity in mortality after hip fracture: a nationwide Norwegian study of 38,126 women with hip fracture matched to a general-population comparison cohort. </w:t>
      </w:r>
      <w:proofErr w:type="spellStart"/>
      <w:r w:rsidRPr="00247002">
        <w:t>Am</w:t>
      </w:r>
      <w:proofErr w:type="spellEnd"/>
      <w:r w:rsidRPr="00247002">
        <w:t xml:space="preserve"> J </w:t>
      </w:r>
      <w:proofErr w:type="spellStart"/>
      <w:r w:rsidRPr="00247002">
        <w:t>Epidemiol</w:t>
      </w:r>
      <w:proofErr w:type="spellEnd"/>
      <w:r w:rsidRPr="00247002">
        <w:t>. 2019;188(2):398-407. 10.1093/</w:t>
      </w:r>
      <w:proofErr w:type="spellStart"/>
      <w:r w:rsidRPr="00247002">
        <w:t>aje</w:t>
      </w:r>
      <w:proofErr w:type="spellEnd"/>
      <w:r w:rsidRPr="00247002">
        <w:t>/kwy251</w:t>
      </w:r>
    </w:p>
    <w:p w:rsidR="00247002" w:rsidRPr="00247002" w:rsidRDefault="00247002" w:rsidP="00247002">
      <w:pPr>
        <w:numPr>
          <w:ilvl w:val="0"/>
          <w:numId w:val="2"/>
        </w:numPr>
        <w:spacing w:before="100" w:beforeAutospacing="1" w:after="100" w:afterAutospacing="1"/>
      </w:pPr>
      <w:proofErr w:type="spellStart"/>
      <w:r w:rsidRPr="00247002">
        <w:t>Grigoryan</w:t>
      </w:r>
      <w:proofErr w:type="spellEnd"/>
      <w:r w:rsidRPr="00247002">
        <w:t xml:space="preserve"> KV, </w:t>
      </w:r>
      <w:proofErr w:type="spellStart"/>
      <w:r w:rsidRPr="00247002">
        <w:t>Javedan</w:t>
      </w:r>
      <w:proofErr w:type="spellEnd"/>
      <w:r w:rsidRPr="00247002">
        <w:t xml:space="preserve"> H, Rudolph JL. </w:t>
      </w:r>
      <w:r w:rsidRPr="00247002">
        <w:rPr>
          <w:lang w:val="en-US"/>
        </w:rPr>
        <w:t xml:space="preserve">Orthogeriatric care models and outcomes in hip fracture patients: a systematic review and meta-analysis. </w:t>
      </w:r>
      <w:r w:rsidRPr="00247002">
        <w:t xml:space="preserve">J </w:t>
      </w:r>
      <w:proofErr w:type="spellStart"/>
      <w:r w:rsidRPr="00247002">
        <w:t>Orthop</w:t>
      </w:r>
      <w:proofErr w:type="spellEnd"/>
      <w:r w:rsidRPr="00247002">
        <w:t xml:space="preserve"> Trauma. 2014;28(3):e49-55. 10.1097/BOT.0b013e3182a5a045</w:t>
      </w:r>
    </w:p>
    <w:p w:rsidR="00247002" w:rsidRPr="00247002" w:rsidRDefault="00247002" w:rsidP="00247002">
      <w:pPr>
        <w:numPr>
          <w:ilvl w:val="0"/>
          <w:numId w:val="2"/>
        </w:numPr>
        <w:spacing w:before="100" w:beforeAutospacing="1" w:after="100" w:afterAutospacing="1"/>
      </w:pPr>
      <w:proofErr w:type="spellStart"/>
      <w:r w:rsidRPr="00247002">
        <w:rPr>
          <w:lang w:val="en-US"/>
        </w:rPr>
        <w:t>Prestmo</w:t>
      </w:r>
      <w:proofErr w:type="spellEnd"/>
      <w:r w:rsidRPr="00247002">
        <w:rPr>
          <w:lang w:val="en-US"/>
        </w:rPr>
        <w:t xml:space="preserve"> A, Hagen G, </w:t>
      </w:r>
      <w:proofErr w:type="spellStart"/>
      <w:r w:rsidRPr="00247002">
        <w:rPr>
          <w:lang w:val="en-US"/>
        </w:rPr>
        <w:t>Sletvold</w:t>
      </w:r>
      <w:proofErr w:type="spellEnd"/>
      <w:r w:rsidRPr="00247002">
        <w:rPr>
          <w:lang w:val="en-US"/>
        </w:rPr>
        <w:t xml:space="preserve"> O, et al. Comprehensive geriatric care for patients with hip fractures: a prospective, </w:t>
      </w:r>
      <w:proofErr w:type="spellStart"/>
      <w:r w:rsidRPr="00247002">
        <w:rPr>
          <w:lang w:val="en-US"/>
        </w:rPr>
        <w:t>randomised</w:t>
      </w:r>
      <w:proofErr w:type="spellEnd"/>
      <w:r w:rsidRPr="00247002">
        <w:rPr>
          <w:lang w:val="en-US"/>
        </w:rPr>
        <w:t xml:space="preserve">, controlled trial. </w:t>
      </w:r>
      <w:r w:rsidRPr="00247002">
        <w:t>Lancet. 2015;385(9978):1623-1633. 10.1016/S0140-6736(14)62409-0</w:t>
      </w:r>
    </w:p>
    <w:p w:rsidR="00247002" w:rsidRPr="00247002" w:rsidRDefault="00247002" w:rsidP="00247002">
      <w:pPr>
        <w:numPr>
          <w:ilvl w:val="0"/>
          <w:numId w:val="2"/>
        </w:numPr>
        <w:spacing w:before="100" w:beforeAutospacing="1" w:after="100" w:afterAutospacing="1"/>
      </w:pPr>
      <w:r w:rsidRPr="00247002">
        <w:rPr>
          <w:lang w:val="en-US"/>
        </w:rPr>
        <w:t xml:space="preserve">Johansson H, </w:t>
      </w:r>
      <w:proofErr w:type="spellStart"/>
      <w:r w:rsidRPr="00247002">
        <w:rPr>
          <w:lang w:val="en-US"/>
        </w:rPr>
        <w:t>Siggeirsdóttir</w:t>
      </w:r>
      <w:proofErr w:type="spellEnd"/>
      <w:r w:rsidRPr="00247002">
        <w:rPr>
          <w:lang w:val="en-US"/>
        </w:rPr>
        <w:t xml:space="preserve"> K, Harvey NC, et al. Imminent risk of fracture after fracture. </w:t>
      </w:r>
      <w:proofErr w:type="spellStart"/>
      <w:r w:rsidRPr="00247002">
        <w:t>Osteoporos</w:t>
      </w:r>
      <w:proofErr w:type="spellEnd"/>
      <w:r w:rsidRPr="00247002">
        <w:t xml:space="preserve"> Int. 2017;28(3):775-780. 10.1007/s00198-016-3868-0</w:t>
      </w:r>
    </w:p>
    <w:p w:rsidR="00247002" w:rsidRPr="00247002" w:rsidRDefault="00247002" w:rsidP="00247002">
      <w:pPr>
        <w:numPr>
          <w:ilvl w:val="0"/>
          <w:numId w:val="2"/>
        </w:numPr>
        <w:spacing w:before="100" w:beforeAutospacing="1" w:after="100" w:afterAutospacing="1"/>
      </w:pPr>
      <w:r w:rsidRPr="00247002">
        <w:rPr>
          <w:lang w:val="en-US"/>
        </w:rPr>
        <w:t xml:space="preserve">Downey C, Kelly M, Quinlan JF. Changing trends in the mortality rate at 1-year post hip fracture - a systematic review. </w:t>
      </w:r>
      <w:r w:rsidRPr="00247002">
        <w:t xml:space="preserve">World J </w:t>
      </w:r>
      <w:proofErr w:type="spellStart"/>
      <w:r w:rsidRPr="00247002">
        <w:t>Orthop</w:t>
      </w:r>
      <w:proofErr w:type="spellEnd"/>
      <w:r w:rsidRPr="00247002">
        <w:t>. 2019;10(3):166-175. 10.5312/</w:t>
      </w:r>
      <w:proofErr w:type="gramStart"/>
      <w:r w:rsidRPr="00247002">
        <w:t>wjo.v10.i</w:t>
      </w:r>
      <w:proofErr w:type="gramEnd"/>
      <w:r w:rsidRPr="00247002">
        <w:t>3.166</w:t>
      </w:r>
    </w:p>
    <w:p w:rsidR="00247002" w:rsidRPr="00247002" w:rsidRDefault="00247002" w:rsidP="00247002">
      <w:pPr>
        <w:numPr>
          <w:ilvl w:val="0"/>
          <w:numId w:val="2"/>
        </w:numPr>
        <w:spacing w:before="100" w:beforeAutospacing="1" w:after="100" w:afterAutospacing="1"/>
      </w:pPr>
      <w:r w:rsidRPr="00247002">
        <w:rPr>
          <w:lang w:val="en-US"/>
        </w:rPr>
        <w:lastRenderedPageBreak/>
        <w:t xml:space="preserve">LeBlanc ES, Hillier TA, </w:t>
      </w:r>
      <w:proofErr w:type="spellStart"/>
      <w:r w:rsidRPr="00247002">
        <w:rPr>
          <w:lang w:val="en-US"/>
        </w:rPr>
        <w:t>Pedula</w:t>
      </w:r>
      <w:proofErr w:type="spellEnd"/>
      <w:r w:rsidRPr="00247002">
        <w:rPr>
          <w:lang w:val="en-US"/>
        </w:rPr>
        <w:t xml:space="preserve"> KL, et al. Hip fracture and increased short-term but not long-term mortality in healthy older women. </w:t>
      </w:r>
      <w:proofErr w:type="spellStart"/>
      <w:r w:rsidRPr="00247002">
        <w:t>Arch</w:t>
      </w:r>
      <w:proofErr w:type="spellEnd"/>
      <w:r w:rsidRPr="00247002">
        <w:t xml:space="preserve"> </w:t>
      </w:r>
      <w:proofErr w:type="spellStart"/>
      <w:r w:rsidRPr="00247002">
        <w:t>Intern</w:t>
      </w:r>
      <w:proofErr w:type="spellEnd"/>
      <w:r w:rsidRPr="00247002">
        <w:t xml:space="preserve"> Med. 2011;171(20):1831-1837. 10.1001/archinternmed.2011.447</w:t>
      </w:r>
    </w:p>
    <w:p w:rsidR="00247002" w:rsidRPr="00247002" w:rsidRDefault="00247002" w:rsidP="00247002">
      <w:pPr>
        <w:numPr>
          <w:ilvl w:val="0"/>
          <w:numId w:val="2"/>
        </w:numPr>
        <w:spacing w:before="100" w:beforeAutospacing="1" w:after="100" w:afterAutospacing="1"/>
      </w:pPr>
      <w:r w:rsidRPr="00247002">
        <w:t xml:space="preserve">Pinheiro MM, </w:t>
      </w:r>
      <w:proofErr w:type="spellStart"/>
      <w:r w:rsidRPr="00247002">
        <w:t>Ciconelli</w:t>
      </w:r>
      <w:proofErr w:type="spellEnd"/>
      <w:r w:rsidRPr="00247002">
        <w:t xml:space="preserve"> RM, Martini LA, et al. </w:t>
      </w:r>
      <w:r w:rsidRPr="00247002">
        <w:rPr>
          <w:lang w:val="en-US"/>
        </w:rPr>
        <w:t xml:space="preserve">Clinical risk factors for osteoporotic fractures in Brazilian women and men: the Brazilian Osteoporosis Study (BRAZOS). </w:t>
      </w:r>
      <w:proofErr w:type="spellStart"/>
      <w:r w:rsidRPr="00247002">
        <w:t>Osteoporos</w:t>
      </w:r>
      <w:proofErr w:type="spellEnd"/>
      <w:r w:rsidRPr="00247002">
        <w:t xml:space="preserve"> Int. 2009;20(3):399-408. 10.1007/s00198-008-0680-5</w:t>
      </w:r>
    </w:p>
    <w:p w:rsidR="00247002" w:rsidRPr="00247002" w:rsidRDefault="00247002" w:rsidP="00247002">
      <w:pPr>
        <w:numPr>
          <w:ilvl w:val="0"/>
          <w:numId w:val="2"/>
        </w:numPr>
        <w:spacing w:before="100" w:beforeAutospacing="1" w:after="100" w:afterAutospacing="1"/>
      </w:pPr>
      <w:proofErr w:type="spellStart"/>
      <w:r w:rsidRPr="00247002">
        <w:rPr>
          <w:lang w:val="en-US"/>
        </w:rPr>
        <w:t>Katsoulis</w:t>
      </w:r>
      <w:proofErr w:type="spellEnd"/>
      <w:r w:rsidRPr="00247002">
        <w:rPr>
          <w:lang w:val="en-US"/>
        </w:rPr>
        <w:t xml:space="preserve"> M, </w:t>
      </w:r>
      <w:proofErr w:type="spellStart"/>
      <w:r w:rsidRPr="00247002">
        <w:rPr>
          <w:lang w:val="en-US"/>
        </w:rPr>
        <w:t>Benetou</w:t>
      </w:r>
      <w:proofErr w:type="spellEnd"/>
      <w:r w:rsidRPr="00247002">
        <w:rPr>
          <w:lang w:val="en-US"/>
        </w:rPr>
        <w:t xml:space="preserve"> V, </w:t>
      </w:r>
      <w:proofErr w:type="spellStart"/>
      <w:r w:rsidRPr="00247002">
        <w:rPr>
          <w:lang w:val="en-US"/>
        </w:rPr>
        <w:t>Karapetyan</w:t>
      </w:r>
      <w:proofErr w:type="spellEnd"/>
      <w:r w:rsidRPr="00247002">
        <w:rPr>
          <w:lang w:val="en-US"/>
        </w:rPr>
        <w:t xml:space="preserve"> T, et al. Excess mortality after hip fracture in elderly persons from Europe and the USA: the CHANCES project. </w:t>
      </w:r>
      <w:r w:rsidRPr="00247002">
        <w:t xml:space="preserve">J </w:t>
      </w:r>
      <w:proofErr w:type="spellStart"/>
      <w:r w:rsidRPr="00247002">
        <w:t>Intern</w:t>
      </w:r>
      <w:proofErr w:type="spellEnd"/>
      <w:r w:rsidRPr="00247002">
        <w:t xml:space="preserve"> Med. 2017;281(3):300-310. 10.1111/joim.12586</w:t>
      </w:r>
    </w:p>
    <w:p w:rsidR="00247002" w:rsidRPr="00247002" w:rsidRDefault="00247002" w:rsidP="00247002">
      <w:pPr>
        <w:numPr>
          <w:ilvl w:val="0"/>
          <w:numId w:val="2"/>
        </w:numPr>
        <w:spacing w:before="100" w:beforeAutospacing="1" w:after="100" w:afterAutospacing="1"/>
      </w:pPr>
      <w:r w:rsidRPr="00247002">
        <w:rPr>
          <w:lang w:val="en-US"/>
        </w:rPr>
        <w:t xml:space="preserve">Veronese N, Maggi S. Epidemiology and social costs of hip fracture. </w:t>
      </w:r>
      <w:proofErr w:type="spellStart"/>
      <w:r w:rsidRPr="00247002">
        <w:t>Injury</w:t>
      </w:r>
      <w:proofErr w:type="spellEnd"/>
      <w:r w:rsidRPr="00247002">
        <w:t>. 2018;49(8):1458-1460. 10.1016/j.injury.2018.04.015</w:t>
      </w:r>
    </w:p>
    <w:p w:rsidR="00247002" w:rsidRPr="00247002" w:rsidRDefault="00247002" w:rsidP="00247002">
      <w:pPr>
        <w:numPr>
          <w:ilvl w:val="0"/>
          <w:numId w:val="2"/>
        </w:numPr>
        <w:spacing w:before="100" w:beforeAutospacing="1" w:after="100" w:afterAutospacing="1"/>
      </w:pPr>
      <w:r w:rsidRPr="00247002">
        <w:rPr>
          <w:lang w:val="en-US"/>
        </w:rPr>
        <w:t xml:space="preserve">Wu CY, Tsai CF, Hsu YH, et al. Exploring mortality risk factors and specific causes of death within 30 days after hip fracture hospitalization. </w:t>
      </w:r>
      <w:proofErr w:type="spellStart"/>
      <w:r w:rsidRPr="00247002">
        <w:t>Sci</w:t>
      </w:r>
      <w:proofErr w:type="spellEnd"/>
      <w:r w:rsidRPr="00247002">
        <w:t xml:space="preserve"> Rep. 2024;14(1):27544. 10.1038/s41598-024-79297-z</w:t>
      </w:r>
    </w:p>
    <w:p w:rsidR="00247002" w:rsidRPr="00247002" w:rsidRDefault="00247002" w:rsidP="00247002">
      <w:pPr>
        <w:numPr>
          <w:ilvl w:val="0"/>
          <w:numId w:val="2"/>
        </w:numPr>
        <w:spacing w:before="100" w:beforeAutospacing="1" w:after="100" w:afterAutospacing="1"/>
      </w:pPr>
      <w:proofErr w:type="spellStart"/>
      <w:r w:rsidRPr="00247002">
        <w:rPr>
          <w:lang w:val="en-US"/>
        </w:rPr>
        <w:t>Marinho</w:t>
      </w:r>
      <w:proofErr w:type="spellEnd"/>
      <w:r w:rsidRPr="00247002">
        <w:rPr>
          <w:lang w:val="en-US"/>
        </w:rPr>
        <w:t xml:space="preserve"> BC, Guerra LP, Drummond JB, et al. The burden of osteoporosis in Brazil. </w:t>
      </w:r>
      <w:proofErr w:type="spellStart"/>
      <w:r w:rsidRPr="00247002">
        <w:t>Arq</w:t>
      </w:r>
      <w:proofErr w:type="spellEnd"/>
      <w:r w:rsidRPr="00247002">
        <w:t xml:space="preserve"> </w:t>
      </w:r>
      <w:proofErr w:type="spellStart"/>
      <w:r w:rsidRPr="00247002">
        <w:t>Bras</w:t>
      </w:r>
      <w:proofErr w:type="spellEnd"/>
      <w:r w:rsidRPr="00247002">
        <w:t xml:space="preserve"> </w:t>
      </w:r>
      <w:proofErr w:type="spellStart"/>
      <w:r w:rsidRPr="00247002">
        <w:t>Endocrinol</w:t>
      </w:r>
      <w:proofErr w:type="spellEnd"/>
      <w:r w:rsidRPr="00247002">
        <w:t xml:space="preserve"> </w:t>
      </w:r>
      <w:proofErr w:type="spellStart"/>
      <w:r w:rsidRPr="00247002">
        <w:t>Metabol</w:t>
      </w:r>
      <w:proofErr w:type="spellEnd"/>
      <w:r w:rsidRPr="00247002">
        <w:t>. 2014;58(5):434-443. 10.1590/0004-2730000003203</w:t>
      </w:r>
    </w:p>
    <w:p w:rsidR="00247002" w:rsidRPr="00247002" w:rsidRDefault="00247002" w:rsidP="00247002">
      <w:pPr>
        <w:numPr>
          <w:ilvl w:val="0"/>
          <w:numId w:val="2"/>
        </w:numPr>
        <w:spacing w:before="100" w:beforeAutospacing="1" w:after="100" w:afterAutospacing="1"/>
      </w:pPr>
      <w:proofErr w:type="spellStart"/>
      <w:r w:rsidRPr="00247002">
        <w:rPr>
          <w:lang w:val="en-US"/>
        </w:rPr>
        <w:t>Stolnicki</w:t>
      </w:r>
      <w:proofErr w:type="spellEnd"/>
      <w:r w:rsidRPr="00247002">
        <w:rPr>
          <w:lang w:val="en-US"/>
        </w:rPr>
        <w:t xml:space="preserve"> B, Martins LG, Amaral Filho JC, et al. Analysis of the profile of hip fracture-related hospital admissions: the 2018-2019 biennium in Brazil. </w:t>
      </w:r>
      <w:proofErr w:type="spellStart"/>
      <w:r w:rsidRPr="00247002">
        <w:t>Rev</w:t>
      </w:r>
      <w:proofErr w:type="spellEnd"/>
      <w:r w:rsidRPr="00247002">
        <w:t xml:space="preserve"> </w:t>
      </w:r>
      <w:proofErr w:type="spellStart"/>
      <w:r w:rsidRPr="00247002">
        <w:t>Bras</w:t>
      </w:r>
      <w:proofErr w:type="spellEnd"/>
      <w:r w:rsidRPr="00247002">
        <w:t xml:space="preserve"> Ortop. 2022;57(5):876-882. 10.1055/s-0041-1740472</w:t>
      </w:r>
    </w:p>
    <w:p w:rsidR="00247002" w:rsidRPr="00247002" w:rsidRDefault="00247002" w:rsidP="00247002">
      <w:pPr>
        <w:numPr>
          <w:ilvl w:val="0"/>
          <w:numId w:val="2"/>
        </w:numPr>
        <w:spacing w:before="100" w:beforeAutospacing="1" w:after="100" w:afterAutospacing="1"/>
      </w:pPr>
      <w:proofErr w:type="spellStart"/>
      <w:r w:rsidRPr="00247002">
        <w:t>Iolascon</w:t>
      </w:r>
      <w:proofErr w:type="spellEnd"/>
      <w:r w:rsidRPr="00247002">
        <w:t xml:space="preserve"> G, de </w:t>
      </w:r>
      <w:proofErr w:type="spellStart"/>
      <w:r w:rsidRPr="00247002">
        <w:t>Sire</w:t>
      </w:r>
      <w:proofErr w:type="spellEnd"/>
      <w:r w:rsidRPr="00247002">
        <w:t xml:space="preserve"> A, </w:t>
      </w:r>
      <w:proofErr w:type="spellStart"/>
      <w:r w:rsidRPr="00247002">
        <w:t>Calafiore</w:t>
      </w:r>
      <w:proofErr w:type="spellEnd"/>
      <w:r w:rsidRPr="00247002">
        <w:t xml:space="preserve"> D, et al. </w:t>
      </w:r>
      <w:r w:rsidRPr="00247002">
        <w:rPr>
          <w:lang w:val="en-US"/>
        </w:rPr>
        <w:t xml:space="preserve">Multifactorial assessment of risk of falling in 753 post-menopausal women: a multicenter cross-sectional study by the Italian Group for the Study of Metabolic Bone Diseases. </w:t>
      </w:r>
      <w:proofErr w:type="spellStart"/>
      <w:r w:rsidRPr="00247002">
        <w:t>Clin</w:t>
      </w:r>
      <w:proofErr w:type="spellEnd"/>
      <w:r w:rsidRPr="00247002">
        <w:t xml:space="preserve"> </w:t>
      </w:r>
      <w:proofErr w:type="spellStart"/>
      <w:r w:rsidRPr="00247002">
        <w:t>Interv</w:t>
      </w:r>
      <w:proofErr w:type="spellEnd"/>
      <w:r w:rsidRPr="00247002">
        <w:t xml:space="preserve"> </w:t>
      </w:r>
      <w:proofErr w:type="spellStart"/>
      <w:r w:rsidRPr="00247002">
        <w:t>Aging</w:t>
      </w:r>
      <w:proofErr w:type="spellEnd"/>
      <w:r w:rsidRPr="00247002">
        <w:t xml:space="preserve">. </w:t>
      </w:r>
      <w:proofErr w:type="gramStart"/>
      <w:r w:rsidRPr="00247002">
        <w:t>2020;15:1077</w:t>
      </w:r>
      <w:proofErr w:type="gramEnd"/>
      <w:r w:rsidRPr="00247002">
        <w:t>-1084. 10.2147/CIA.S257304</w:t>
      </w:r>
    </w:p>
    <w:p w:rsidR="00247002" w:rsidRPr="00247002" w:rsidRDefault="00247002" w:rsidP="00247002">
      <w:pPr>
        <w:numPr>
          <w:ilvl w:val="0"/>
          <w:numId w:val="2"/>
        </w:numPr>
        <w:spacing w:before="100" w:beforeAutospacing="1" w:after="100" w:afterAutospacing="1"/>
      </w:pPr>
      <w:proofErr w:type="spellStart"/>
      <w:r w:rsidRPr="00247002">
        <w:rPr>
          <w:lang w:val="en-US"/>
        </w:rPr>
        <w:t>Nordström</w:t>
      </w:r>
      <w:proofErr w:type="spellEnd"/>
      <w:r w:rsidRPr="00247002">
        <w:rPr>
          <w:lang w:val="en-US"/>
        </w:rPr>
        <w:t xml:space="preserve"> P, Gustafson Y, </w:t>
      </w:r>
      <w:proofErr w:type="spellStart"/>
      <w:r w:rsidRPr="00247002">
        <w:rPr>
          <w:lang w:val="en-US"/>
        </w:rPr>
        <w:t>Michaëlsson</w:t>
      </w:r>
      <w:proofErr w:type="spellEnd"/>
      <w:r w:rsidRPr="00247002">
        <w:rPr>
          <w:lang w:val="en-US"/>
        </w:rPr>
        <w:t xml:space="preserve"> K, et al. Length of hospital stay after hip fracture and </w:t>
      </w:r>
      <w:proofErr w:type="gramStart"/>
      <w:r w:rsidRPr="00247002">
        <w:rPr>
          <w:lang w:val="en-US"/>
        </w:rPr>
        <w:t>short term</w:t>
      </w:r>
      <w:proofErr w:type="gramEnd"/>
      <w:r w:rsidRPr="00247002">
        <w:rPr>
          <w:lang w:val="en-US"/>
        </w:rPr>
        <w:t xml:space="preserve"> risk of death after discharge: a total cohort study in Sweden. </w:t>
      </w:r>
      <w:r w:rsidRPr="00247002">
        <w:t>BMJ. 2015;350:h696. 10.1136/bmj.h696</w:t>
      </w:r>
    </w:p>
    <w:p w:rsidR="00247002" w:rsidRPr="00247002" w:rsidRDefault="00247002" w:rsidP="00247002">
      <w:pPr>
        <w:numPr>
          <w:ilvl w:val="0"/>
          <w:numId w:val="2"/>
        </w:numPr>
        <w:spacing w:before="100" w:beforeAutospacing="1" w:after="100" w:afterAutospacing="1"/>
      </w:pPr>
      <w:r w:rsidRPr="00247002">
        <w:rPr>
          <w:lang w:val="en-US"/>
        </w:rPr>
        <w:t xml:space="preserve">Abrahamsen B, van </w:t>
      </w:r>
      <w:proofErr w:type="spellStart"/>
      <w:r w:rsidRPr="00247002">
        <w:rPr>
          <w:lang w:val="en-US"/>
        </w:rPr>
        <w:t>Staa</w:t>
      </w:r>
      <w:proofErr w:type="spellEnd"/>
      <w:r w:rsidRPr="00247002">
        <w:rPr>
          <w:lang w:val="en-US"/>
        </w:rPr>
        <w:t xml:space="preserve"> T, </w:t>
      </w:r>
      <w:proofErr w:type="spellStart"/>
      <w:r w:rsidRPr="00247002">
        <w:rPr>
          <w:lang w:val="en-US"/>
        </w:rPr>
        <w:t>Ariely</w:t>
      </w:r>
      <w:proofErr w:type="spellEnd"/>
      <w:r w:rsidRPr="00247002">
        <w:rPr>
          <w:lang w:val="en-US"/>
        </w:rPr>
        <w:t xml:space="preserve"> R, et al. Excess mortality following hip fracture: a systematic epidemiological review. </w:t>
      </w:r>
      <w:proofErr w:type="spellStart"/>
      <w:r w:rsidRPr="00247002">
        <w:t>Osteoporos</w:t>
      </w:r>
      <w:proofErr w:type="spellEnd"/>
      <w:r w:rsidRPr="00247002">
        <w:t xml:space="preserve"> Int. 2009;20(10):1633-1650. 10.1007/s00198-009-0920-3</w:t>
      </w:r>
    </w:p>
    <w:p w:rsidR="00247002" w:rsidRPr="00247002" w:rsidRDefault="00247002" w:rsidP="00247002">
      <w:pPr>
        <w:numPr>
          <w:ilvl w:val="0"/>
          <w:numId w:val="2"/>
        </w:numPr>
        <w:spacing w:before="100" w:beforeAutospacing="1" w:after="100" w:afterAutospacing="1"/>
      </w:pPr>
      <w:r w:rsidRPr="00247002">
        <w:rPr>
          <w:lang w:val="en-US"/>
        </w:rPr>
        <w:t xml:space="preserve">Bernstein J, Lee A, </w:t>
      </w:r>
      <w:proofErr w:type="spellStart"/>
      <w:r w:rsidRPr="00247002">
        <w:rPr>
          <w:lang w:val="en-US"/>
        </w:rPr>
        <w:t>Ahn</w:t>
      </w:r>
      <w:proofErr w:type="spellEnd"/>
      <w:r w:rsidRPr="00247002">
        <w:rPr>
          <w:lang w:val="en-US"/>
        </w:rPr>
        <w:t xml:space="preserve"> J. When does annual geriatric hip fracture mortality revert to baseline? </w:t>
      </w:r>
      <w:r w:rsidRPr="00247002">
        <w:t xml:space="preserve">Front </w:t>
      </w:r>
      <w:proofErr w:type="spellStart"/>
      <w:r w:rsidRPr="00247002">
        <w:t>Surg</w:t>
      </w:r>
      <w:proofErr w:type="spellEnd"/>
      <w:r w:rsidRPr="00247002">
        <w:t xml:space="preserve">. </w:t>
      </w:r>
      <w:proofErr w:type="gramStart"/>
      <w:r w:rsidRPr="00247002">
        <w:t>2024;11:1359648</w:t>
      </w:r>
      <w:proofErr w:type="gramEnd"/>
      <w:r w:rsidRPr="00247002">
        <w:t>. 10.3389/fsurg.2024.1359648</w:t>
      </w:r>
    </w:p>
    <w:p w:rsidR="00247002" w:rsidRPr="00247002" w:rsidRDefault="00247002" w:rsidP="00247002">
      <w:pPr>
        <w:numPr>
          <w:ilvl w:val="0"/>
          <w:numId w:val="2"/>
        </w:numPr>
        <w:spacing w:before="100" w:beforeAutospacing="1" w:after="100" w:afterAutospacing="1"/>
      </w:pPr>
      <w:r w:rsidRPr="00247002">
        <w:rPr>
          <w:lang w:val="en-US"/>
        </w:rPr>
        <w:t xml:space="preserve">Smith T, </w:t>
      </w:r>
      <w:proofErr w:type="spellStart"/>
      <w:r w:rsidRPr="00247002">
        <w:rPr>
          <w:lang w:val="en-US"/>
        </w:rPr>
        <w:t>Pelpola</w:t>
      </w:r>
      <w:proofErr w:type="spellEnd"/>
      <w:r w:rsidRPr="00247002">
        <w:rPr>
          <w:lang w:val="en-US"/>
        </w:rPr>
        <w:t xml:space="preserve"> K, Ball M, et al. Pre-operative indicators for mortality following hip fracture surgery: a systematic review and meta-analysis. </w:t>
      </w:r>
      <w:r w:rsidRPr="00247002">
        <w:t xml:space="preserve">Age </w:t>
      </w:r>
      <w:proofErr w:type="spellStart"/>
      <w:r w:rsidRPr="00247002">
        <w:t>Ageing</w:t>
      </w:r>
      <w:proofErr w:type="spellEnd"/>
      <w:r w:rsidRPr="00247002">
        <w:t>. 2014;43(4):464-471. 10.1093/</w:t>
      </w:r>
      <w:proofErr w:type="spellStart"/>
      <w:r w:rsidRPr="00247002">
        <w:t>ageing</w:t>
      </w:r>
      <w:proofErr w:type="spellEnd"/>
      <w:r w:rsidRPr="00247002">
        <w:t>/afu065</w:t>
      </w:r>
    </w:p>
    <w:p w:rsidR="00247002" w:rsidRPr="00247002" w:rsidRDefault="00247002" w:rsidP="00247002">
      <w:pPr>
        <w:numPr>
          <w:ilvl w:val="0"/>
          <w:numId w:val="2"/>
        </w:numPr>
        <w:spacing w:before="100" w:beforeAutospacing="1" w:after="100" w:afterAutospacing="1"/>
      </w:pPr>
      <w:r w:rsidRPr="00247002">
        <w:rPr>
          <w:lang w:val="en-US"/>
        </w:rPr>
        <w:t xml:space="preserve">Harvey LA, Mitchell R, Lord SR, et al. Determinants of uptake of home modifications and exercise to prevent falls in community-dwelling older people. </w:t>
      </w:r>
      <w:proofErr w:type="spellStart"/>
      <w:r w:rsidRPr="00247002">
        <w:t>Aust</w:t>
      </w:r>
      <w:proofErr w:type="spellEnd"/>
      <w:r w:rsidRPr="00247002">
        <w:t xml:space="preserve"> N Z J </w:t>
      </w:r>
      <w:proofErr w:type="spellStart"/>
      <w:r w:rsidRPr="00247002">
        <w:t>Public</w:t>
      </w:r>
      <w:proofErr w:type="spellEnd"/>
      <w:r w:rsidRPr="00247002">
        <w:t xml:space="preserve"> Health. 2014;38(6):585-590. 10.1111/1753-6405.12242</w:t>
      </w:r>
    </w:p>
    <w:p w:rsidR="00247002" w:rsidRDefault="00247002"/>
    <w:sectPr w:rsidR="00247002" w:rsidSect="00C628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43E5E"/>
    <w:multiLevelType w:val="multilevel"/>
    <w:tmpl w:val="C89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F13F7"/>
    <w:multiLevelType w:val="multilevel"/>
    <w:tmpl w:val="567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02"/>
    <w:rsid w:val="00247002"/>
    <w:rsid w:val="00254DF0"/>
    <w:rsid w:val="003652EA"/>
    <w:rsid w:val="00502C3C"/>
    <w:rsid w:val="006B3924"/>
    <w:rsid w:val="008B4665"/>
    <w:rsid w:val="0098152C"/>
    <w:rsid w:val="00AB2F9C"/>
    <w:rsid w:val="00C62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F39044D"/>
  <w15:chartTrackingRefBased/>
  <w15:docId w15:val="{508736F8-BD4C-464E-B96F-DD66F1A7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3C"/>
    <w:rPr>
      <w:rFonts w:ascii="Times New Roman" w:eastAsia="Times New Roman" w:hAnsi="Times New Roman" w:cs="Times New Roman"/>
      <w:lang w:eastAsia="pt-BR"/>
    </w:rPr>
  </w:style>
  <w:style w:type="paragraph" w:styleId="Ttulo1">
    <w:name w:val="heading 1"/>
    <w:basedOn w:val="Normal"/>
    <w:link w:val="Ttulo1Char"/>
    <w:uiPriority w:val="9"/>
    <w:qFormat/>
    <w:rsid w:val="00247002"/>
    <w:pPr>
      <w:spacing w:before="100" w:beforeAutospacing="1" w:after="100" w:afterAutospacing="1"/>
      <w:outlineLvl w:val="0"/>
    </w:pPr>
    <w:rPr>
      <w:b/>
      <w:bCs/>
      <w:kern w:val="36"/>
      <w:sz w:val="48"/>
      <w:szCs w:val="48"/>
    </w:rPr>
  </w:style>
  <w:style w:type="paragraph" w:styleId="Ttulo2">
    <w:name w:val="heading 2"/>
    <w:basedOn w:val="Normal"/>
    <w:link w:val="Ttulo2Char"/>
    <w:uiPriority w:val="9"/>
    <w:qFormat/>
    <w:rsid w:val="00247002"/>
    <w:pPr>
      <w:spacing w:before="100" w:beforeAutospacing="1" w:after="100" w:afterAutospacing="1"/>
      <w:outlineLvl w:val="1"/>
    </w:pPr>
    <w:rPr>
      <w:b/>
      <w:bCs/>
      <w:sz w:val="36"/>
      <w:szCs w:val="36"/>
    </w:rPr>
  </w:style>
  <w:style w:type="paragraph" w:styleId="Ttulo3">
    <w:name w:val="heading 3"/>
    <w:basedOn w:val="Normal"/>
    <w:link w:val="Ttulo3Char"/>
    <w:uiPriority w:val="9"/>
    <w:qFormat/>
    <w:rsid w:val="00247002"/>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700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4700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4700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47002"/>
    <w:pPr>
      <w:spacing w:before="100" w:beforeAutospacing="1" w:after="100" w:afterAutospacing="1"/>
    </w:pPr>
  </w:style>
  <w:style w:type="character" w:styleId="Forte">
    <w:name w:val="Strong"/>
    <w:basedOn w:val="Fontepargpadro"/>
    <w:uiPriority w:val="22"/>
    <w:qFormat/>
    <w:rsid w:val="00247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38644">
      <w:bodyDiv w:val="1"/>
      <w:marLeft w:val="0"/>
      <w:marRight w:val="0"/>
      <w:marTop w:val="0"/>
      <w:marBottom w:val="0"/>
      <w:divBdr>
        <w:top w:val="none" w:sz="0" w:space="0" w:color="auto"/>
        <w:left w:val="none" w:sz="0" w:space="0" w:color="auto"/>
        <w:bottom w:val="none" w:sz="0" w:space="0" w:color="auto"/>
        <w:right w:val="none" w:sz="0" w:space="0" w:color="auto"/>
      </w:divBdr>
      <w:divsChild>
        <w:div w:id="974530056">
          <w:marLeft w:val="0"/>
          <w:marRight w:val="0"/>
          <w:marTop w:val="0"/>
          <w:marBottom w:val="0"/>
          <w:divBdr>
            <w:top w:val="none" w:sz="0" w:space="0" w:color="auto"/>
            <w:left w:val="none" w:sz="0" w:space="0" w:color="auto"/>
            <w:bottom w:val="none" w:sz="0" w:space="0" w:color="auto"/>
            <w:right w:val="none" w:sz="0" w:space="0" w:color="auto"/>
          </w:divBdr>
          <w:divsChild>
            <w:div w:id="2043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811">
      <w:bodyDiv w:val="1"/>
      <w:marLeft w:val="0"/>
      <w:marRight w:val="0"/>
      <w:marTop w:val="0"/>
      <w:marBottom w:val="0"/>
      <w:divBdr>
        <w:top w:val="none" w:sz="0" w:space="0" w:color="auto"/>
        <w:left w:val="none" w:sz="0" w:space="0" w:color="auto"/>
        <w:bottom w:val="none" w:sz="0" w:space="0" w:color="auto"/>
        <w:right w:val="none" w:sz="0" w:space="0" w:color="auto"/>
      </w:divBdr>
    </w:div>
    <w:div w:id="1089156463">
      <w:bodyDiv w:val="1"/>
      <w:marLeft w:val="0"/>
      <w:marRight w:val="0"/>
      <w:marTop w:val="0"/>
      <w:marBottom w:val="0"/>
      <w:divBdr>
        <w:top w:val="none" w:sz="0" w:space="0" w:color="auto"/>
        <w:left w:val="none" w:sz="0" w:space="0" w:color="auto"/>
        <w:bottom w:val="none" w:sz="0" w:space="0" w:color="auto"/>
        <w:right w:val="none" w:sz="0" w:space="0" w:color="auto"/>
      </w:divBdr>
    </w:div>
    <w:div w:id="1546602644">
      <w:bodyDiv w:val="1"/>
      <w:marLeft w:val="0"/>
      <w:marRight w:val="0"/>
      <w:marTop w:val="0"/>
      <w:marBottom w:val="0"/>
      <w:divBdr>
        <w:top w:val="none" w:sz="0" w:space="0" w:color="auto"/>
        <w:left w:val="none" w:sz="0" w:space="0" w:color="auto"/>
        <w:bottom w:val="none" w:sz="0" w:space="0" w:color="auto"/>
        <w:right w:val="none" w:sz="0" w:space="0" w:color="auto"/>
      </w:divBdr>
      <w:divsChild>
        <w:div w:id="1706104388">
          <w:marLeft w:val="0"/>
          <w:marRight w:val="0"/>
          <w:marTop w:val="0"/>
          <w:marBottom w:val="0"/>
          <w:divBdr>
            <w:top w:val="none" w:sz="0" w:space="0" w:color="auto"/>
            <w:left w:val="none" w:sz="0" w:space="0" w:color="auto"/>
            <w:bottom w:val="none" w:sz="0" w:space="0" w:color="auto"/>
            <w:right w:val="none" w:sz="0" w:space="0" w:color="auto"/>
          </w:divBdr>
          <w:divsChild>
            <w:div w:id="5218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1515">
      <w:bodyDiv w:val="1"/>
      <w:marLeft w:val="0"/>
      <w:marRight w:val="0"/>
      <w:marTop w:val="0"/>
      <w:marBottom w:val="0"/>
      <w:divBdr>
        <w:top w:val="none" w:sz="0" w:space="0" w:color="auto"/>
        <w:left w:val="none" w:sz="0" w:space="0" w:color="auto"/>
        <w:bottom w:val="none" w:sz="0" w:space="0" w:color="auto"/>
        <w:right w:val="none" w:sz="0" w:space="0" w:color="auto"/>
      </w:divBdr>
    </w:div>
    <w:div w:id="1776050418">
      <w:bodyDiv w:val="1"/>
      <w:marLeft w:val="0"/>
      <w:marRight w:val="0"/>
      <w:marTop w:val="0"/>
      <w:marBottom w:val="0"/>
      <w:divBdr>
        <w:top w:val="none" w:sz="0" w:space="0" w:color="auto"/>
        <w:left w:val="none" w:sz="0" w:space="0" w:color="auto"/>
        <w:bottom w:val="none" w:sz="0" w:space="0" w:color="auto"/>
        <w:right w:val="none" w:sz="0" w:space="0" w:color="auto"/>
      </w:divBdr>
      <w:divsChild>
        <w:div w:id="91971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6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12</Pages>
  <Words>4644</Words>
  <Characters>25083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Welisson Barbosa</dc:creator>
  <cp:keywords/>
  <dc:description/>
  <cp:lastModifiedBy>Welisson Barbosa</cp:lastModifiedBy>
  <cp:revision>11</cp:revision>
  <dcterms:created xsi:type="dcterms:W3CDTF">2025-06-09T23:47:00Z</dcterms:created>
  <dcterms:modified xsi:type="dcterms:W3CDTF">2025-06-12T14:35:00Z</dcterms:modified>
</cp:coreProperties>
</file>