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Python: Django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Banco: PostgreSQL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Campo: 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Campo: Senha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tela de recuperação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campo: e-mail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Tela de cadastro usuário primeiro acesso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Prioridade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campo: nome (login)(varchar)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campo: senha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campo: confirmar senha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campo: e-mail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campo: CPF/CNPJ*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campo: telefone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campo: CEP (buscar endereço)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campo: número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campo:bairro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Menu-lateral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Clientes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Fornecedores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Financeiro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Logistica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Comercial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Tela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Tela de bem-vindo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Tela Clientes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Formulario (cadastro)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campo: CPF/CNPJ - https://www.cpfcnpj.com.br/dev/ (opcional)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https://infosimples.com/consultas/receita-federal-cnpj/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https://infosimples.com/consultas/correios-cep/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https://infosimples.com/consultas/receita-federal-cpf/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campo: nome (login)(varchar)*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campo: e-mail*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campo: telefone (um ou mais)*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campo: CEP (buscar end empres) (possivelmente preenchido pela api)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campo: número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campo: bairro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campo: CEP (buscar endereço p/ fisica) (um ou mais)*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campo: número*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campo: bairro*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Backlog Financeiro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Tarefa: Jeferson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Backlog Logistica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Tarefa: Logistica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Backlog Comercial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Tela Dashbord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Definir campos de mostra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Atenção Júniors!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***************voces devem continuar a desenvolver o backlog.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Após devem acessar ao site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Caso queiram, podem usar outro site de sua preferência para apresentar o fluxograma.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Vocês devem modelar o planejamento de estrutura do sistema conforme exemplo abaixo.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115807" cy="4843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807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